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CF" w:rsidRDefault="00713FCF">
      <w:pPr>
        <w:pStyle w:val="Standard"/>
      </w:pPr>
      <w:bookmarkStart w:id="0" w:name="_GoBack"/>
      <w:bookmarkEnd w:id="0"/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</w:pPr>
    </w:p>
    <w:p w:rsidR="00713FCF" w:rsidRDefault="00713FCF">
      <w:pPr>
        <w:pStyle w:val="Standard"/>
        <w:jc w:val="center"/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713FCF">
      <w:pPr>
        <w:pStyle w:val="Standard"/>
        <w:jc w:val="center"/>
        <w:rPr>
          <w:rFonts w:ascii="Arial" w:hAnsi="Arial"/>
          <w:color w:val="000000"/>
        </w:rPr>
      </w:pPr>
    </w:p>
    <w:p w:rsidR="00713FCF" w:rsidRDefault="00E30F2F">
      <w:pPr>
        <w:pStyle w:val="Standard"/>
        <w:jc w:val="center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  <w:sz w:val="36"/>
        </w:rPr>
        <w:t>Powiatowy program</w:t>
      </w:r>
    </w:p>
    <w:p w:rsidR="00713FCF" w:rsidRDefault="00E30F2F">
      <w:pPr>
        <w:pStyle w:val="Standard"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działań na rzecz osób niepełnosprawnych</w:t>
      </w:r>
    </w:p>
    <w:p w:rsidR="00713FCF" w:rsidRDefault="00E30F2F">
      <w:pPr>
        <w:pStyle w:val="Standard"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w Powiecie Malborskim</w:t>
      </w:r>
    </w:p>
    <w:p w:rsidR="00713FCF" w:rsidRDefault="00E30F2F">
      <w:pPr>
        <w:pStyle w:val="Standard"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na lata 2016</w:t>
      </w:r>
      <w:r>
        <w:rPr>
          <w:rFonts w:ascii="Arial" w:hAnsi="Arial"/>
          <w:b/>
          <w:color w:val="000000"/>
          <w:sz w:val="36"/>
        </w:rPr>
        <w:t xml:space="preserve"> – 2026</w:t>
      </w:r>
    </w:p>
    <w:p w:rsidR="00713FCF" w:rsidRDefault="00713FCF">
      <w:pPr>
        <w:pStyle w:val="Standard"/>
      </w:pPr>
    </w:p>
    <w:p w:rsidR="00713FCF" w:rsidRDefault="00E30F2F">
      <w:pPr>
        <w:pStyle w:val="Standard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3696479</wp:posOffset>
            </wp:positionH>
            <wp:positionV relativeFrom="paragraph">
              <wp:posOffset>118080</wp:posOffset>
            </wp:positionV>
            <wp:extent cx="1024199" cy="1219680"/>
            <wp:effectExtent l="0" t="0" r="4501" b="0"/>
            <wp:wrapSquare wrapText="bothSides"/>
            <wp:docPr id="1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199" cy="12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1162080</wp:posOffset>
            </wp:positionH>
            <wp:positionV relativeFrom="paragraph">
              <wp:posOffset>58320</wp:posOffset>
            </wp:positionV>
            <wp:extent cx="1305000" cy="1244520"/>
            <wp:effectExtent l="0" t="0" r="9450" b="0"/>
            <wp:wrapTight wrapText="bothSides">
              <wp:wrapPolygon edited="0">
                <wp:start x="0" y="0"/>
                <wp:lineTo x="0" y="21170"/>
                <wp:lineTo x="21127" y="21170"/>
                <wp:lineTo x="21127" y="0"/>
                <wp:lineTo x="0" y="0"/>
              </wp:wrapPolygon>
            </wp:wrapTight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000" cy="124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E30F2F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760" cy="14760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E30F2F">
      <w:pPr>
        <w:pStyle w:val="Standard"/>
        <w:jc w:val="both"/>
      </w:pPr>
      <w:r>
        <w:t xml:space="preserve">                                                             </w:t>
      </w:r>
      <w:r>
        <w:rPr>
          <w:b/>
          <w:bCs/>
        </w:rPr>
        <w:t xml:space="preserve"> Malbork 2016 </w:t>
      </w:r>
      <w:r>
        <w:t xml:space="preserve">   </w:t>
      </w:r>
    </w:p>
    <w:p w:rsidR="00713FCF" w:rsidRDefault="00E30F2F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SPIS TREŚCI</w:t>
      </w: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E30F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Wstęp </w:t>
      </w:r>
      <w:r>
        <w:rPr>
          <w:sz w:val="28"/>
          <w:szCs w:val="28"/>
        </w:rPr>
        <w:t>................................................................................... 3</w:t>
      </w:r>
    </w:p>
    <w:p w:rsidR="00713FCF" w:rsidRDefault="00E30F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Istota programu .................................................................... 4</w:t>
      </w:r>
    </w:p>
    <w:p w:rsidR="00713FCF" w:rsidRDefault="00E30F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Niepełnosprawność jako problem społeczny – opis problemu ....................</w:t>
      </w:r>
      <w:r>
        <w:rPr>
          <w:sz w:val="28"/>
          <w:szCs w:val="28"/>
        </w:rPr>
        <w:t>.............................................................. 6</w:t>
      </w:r>
    </w:p>
    <w:p w:rsidR="00713FCF" w:rsidRDefault="00E30F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Organizacje i instytucje działąjące na rzecz osób niepełnosprawnych ........................... ....................................... 9</w:t>
      </w:r>
    </w:p>
    <w:p w:rsidR="00713FCF" w:rsidRDefault="00E30F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Cele programu .................................</w:t>
      </w:r>
      <w:r>
        <w:rPr>
          <w:sz w:val="28"/>
          <w:szCs w:val="28"/>
        </w:rPr>
        <w:t>..................................... 11</w:t>
      </w:r>
    </w:p>
    <w:p w:rsidR="00713FCF" w:rsidRDefault="00E30F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Podsumowanie ..................................................................... 15</w:t>
      </w:r>
    </w:p>
    <w:p w:rsidR="00713FCF" w:rsidRDefault="00713FCF">
      <w:pPr>
        <w:pStyle w:val="Standard"/>
        <w:rPr>
          <w:sz w:val="28"/>
          <w:szCs w:val="28"/>
        </w:rPr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  <w:rPr>
          <w:sz w:val="28"/>
          <w:szCs w:val="28"/>
        </w:rPr>
      </w:pPr>
    </w:p>
    <w:p w:rsidR="00713FCF" w:rsidRDefault="00713FCF">
      <w:pPr>
        <w:pStyle w:val="Standard"/>
        <w:rPr>
          <w:sz w:val="28"/>
          <w:szCs w:val="28"/>
        </w:rPr>
      </w:pPr>
    </w:p>
    <w:p w:rsidR="00713FCF" w:rsidRDefault="00E30F2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3FCF" w:rsidRDefault="00713FCF">
      <w:pPr>
        <w:pStyle w:val="Standard"/>
        <w:rPr>
          <w:color w:val="000000"/>
          <w:sz w:val="28"/>
          <w:szCs w:val="28"/>
        </w:rPr>
      </w:pPr>
    </w:p>
    <w:p w:rsidR="00713FCF" w:rsidRDefault="00713FCF">
      <w:pPr>
        <w:pStyle w:val="Standard"/>
        <w:rPr>
          <w:b/>
          <w:color w:val="000000"/>
          <w:sz w:val="28"/>
          <w:szCs w:val="28"/>
        </w:rPr>
      </w:pPr>
    </w:p>
    <w:p w:rsidR="00713FCF" w:rsidRDefault="00E30F2F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Wstęp</w:t>
      </w:r>
    </w:p>
    <w:p w:rsidR="00713FCF" w:rsidRDefault="00713FCF">
      <w:pPr>
        <w:pStyle w:val="Standard"/>
        <w:rPr>
          <w:b/>
          <w:color w:val="000000"/>
          <w:sz w:val="28"/>
          <w:szCs w:val="28"/>
        </w:rPr>
      </w:pPr>
    </w:p>
    <w:p w:rsidR="00713FCF" w:rsidRDefault="00E30F2F">
      <w:pPr>
        <w:pStyle w:val="Standard"/>
        <w:jc w:val="both"/>
      </w:pPr>
      <w:r>
        <w:t xml:space="preserve">Podstawą opracowania „Powiatowego Programu Działań Na Rzecz Osób </w:t>
      </w:r>
      <w:r>
        <w:t xml:space="preserve">Niepełnosprawnych na lata 2016-2026”  (zwanego dalej „Programem”) jest art. 35a pkt 1) ustawy z dnia 27 sierpnia 1997 r. o rehabilitacji zawodowej i społecznej oraz zatrudnianiu osób niepełnosprawnych (t.j. Dz.U. z 2011 r. </w:t>
      </w:r>
      <w:r>
        <w:lastRenderedPageBreak/>
        <w:t>Nr 127 poz. 721 z poźn.zm.), któr</w:t>
      </w:r>
      <w:r>
        <w:t>y stanowi, że do zadań powiatu należy – opracowywanie                         i realizacja, zgodnych z powiatową strategią dotyczącą rozwiązywania problemów społecznych, powiatowych programów działań na rzecz osób niepełnosprawnych w zakresie:</w:t>
      </w:r>
    </w:p>
    <w:p w:rsidR="00713FCF" w:rsidRDefault="00E30F2F">
      <w:pPr>
        <w:pStyle w:val="Akapitzlist"/>
        <w:numPr>
          <w:ilvl w:val="0"/>
          <w:numId w:val="11"/>
        </w:numPr>
        <w:jc w:val="both"/>
      </w:pPr>
      <w:r>
        <w:t>rehabilitacj</w:t>
      </w:r>
      <w:r>
        <w:t>i społecznej,</w:t>
      </w:r>
    </w:p>
    <w:p w:rsidR="00713FCF" w:rsidRDefault="00E30F2F">
      <w:pPr>
        <w:pStyle w:val="Akapitzlist"/>
        <w:numPr>
          <w:ilvl w:val="0"/>
          <w:numId w:val="1"/>
        </w:numPr>
        <w:jc w:val="both"/>
      </w:pPr>
      <w:r>
        <w:t>rehabilitacji zawodowej i zatrudnienia,</w:t>
      </w:r>
    </w:p>
    <w:p w:rsidR="00713FCF" w:rsidRDefault="00E30F2F">
      <w:pPr>
        <w:pStyle w:val="Akapitzlist"/>
        <w:numPr>
          <w:ilvl w:val="0"/>
          <w:numId w:val="1"/>
        </w:numPr>
        <w:jc w:val="both"/>
      </w:pPr>
      <w:r>
        <w:t>przestrzegania praw osób niepełnosprawnych.</w:t>
      </w:r>
    </w:p>
    <w:p w:rsidR="00713FCF" w:rsidRDefault="00E30F2F">
      <w:pPr>
        <w:pStyle w:val="Standard"/>
        <w:jc w:val="both"/>
      </w:pPr>
      <w:r>
        <w:t>Dokument ten wyznacza założenia polityki samorządu powiatowego w zakresie:</w:t>
      </w:r>
    </w:p>
    <w:p w:rsidR="00713FCF" w:rsidRDefault="00E30F2F">
      <w:pPr>
        <w:pStyle w:val="Akapitzlist"/>
        <w:numPr>
          <w:ilvl w:val="0"/>
          <w:numId w:val="12"/>
        </w:numPr>
        <w:jc w:val="both"/>
      </w:pPr>
      <w:r>
        <w:t>rehabilitacji społecznej,</w:t>
      </w:r>
    </w:p>
    <w:p w:rsidR="00713FCF" w:rsidRDefault="00E30F2F">
      <w:pPr>
        <w:pStyle w:val="Akapitzlist"/>
        <w:numPr>
          <w:ilvl w:val="0"/>
          <w:numId w:val="2"/>
        </w:numPr>
        <w:jc w:val="both"/>
      </w:pPr>
      <w:r>
        <w:t>rehabilitacji zawodowej i zatrudnienia,</w:t>
      </w:r>
    </w:p>
    <w:p w:rsidR="00713FCF" w:rsidRDefault="00E30F2F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przestrzegania praw osób niepełnosprawnych.</w:t>
      </w: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>Powiatowy Program Działań na Rzecz Osób Niepełnosprawnych jest dokumentem, który będzie służył do realizacji polityki socjalnej.</w:t>
      </w:r>
    </w:p>
    <w:p w:rsidR="00713FCF" w:rsidRDefault="00E30F2F">
      <w:pPr>
        <w:pStyle w:val="Standard"/>
        <w:jc w:val="both"/>
      </w:pPr>
      <w:r>
        <w:t>Program jest zgodny z programami i ustawodawstwem polskim zawartym w szczególności</w:t>
      </w:r>
      <w:r>
        <w:t xml:space="preserve">                          w następujących aktach:</w:t>
      </w:r>
    </w:p>
    <w:p w:rsidR="00713FCF" w:rsidRDefault="00E30F2F">
      <w:pPr>
        <w:pStyle w:val="Akapitzlist"/>
        <w:numPr>
          <w:ilvl w:val="0"/>
          <w:numId w:val="13"/>
        </w:numPr>
        <w:jc w:val="both"/>
      </w:pPr>
      <w:r>
        <w:t>Konstytucji RP zawierającej zapisy zapobiegające praktykom dyskryminacyjnym wobec osób niepełnosprawnych,</w:t>
      </w:r>
    </w:p>
    <w:p w:rsidR="00713FCF" w:rsidRDefault="00E30F2F">
      <w:pPr>
        <w:pStyle w:val="Akapitzlist"/>
        <w:numPr>
          <w:ilvl w:val="0"/>
          <w:numId w:val="4"/>
        </w:numPr>
        <w:jc w:val="both"/>
      </w:pPr>
      <w:r>
        <w:t>Karcie Praw Osób Niepełnosprawnych – uchwała Sejmu RP z dnia 1 sierpnia  1997 r. (M.P. Nr 50, poz. 4</w:t>
      </w:r>
      <w:r>
        <w:t>75),</w:t>
      </w:r>
    </w:p>
    <w:p w:rsidR="00713FCF" w:rsidRDefault="00E30F2F">
      <w:pPr>
        <w:pStyle w:val="Akapitzlist"/>
        <w:numPr>
          <w:ilvl w:val="0"/>
          <w:numId w:val="4"/>
        </w:numPr>
        <w:jc w:val="both"/>
      </w:pPr>
      <w:r>
        <w:t>uchwale Sejmu Rzeczypospolitej Polskiej w sprawie przeciwdziałania wykluczeniu społecznemu osób niepełnosprawnych z dnia 7 grudnia 2012 r. (M.P. z 2012 r., poz. 991),</w:t>
      </w:r>
    </w:p>
    <w:p w:rsidR="00713FCF" w:rsidRDefault="00E30F2F">
      <w:pPr>
        <w:pStyle w:val="Akapitzlist"/>
        <w:numPr>
          <w:ilvl w:val="0"/>
          <w:numId w:val="4"/>
        </w:numPr>
        <w:jc w:val="both"/>
      </w:pPr>
      <w:r>
        <w:t>ustawie z dnia 27 sierpnia 1997r. o rehabilitacji zawodowej i społecznej oraz zatrud</w:t>
      </w:r>
      <w:r>
        <w:t>nianiu osób niepełnosprawnych (Dz.U. z 2011 Nr 127, poz. 721 z późn.zm.),</w:t>
      </w:r>
    </w:p>
    <w:p w:rsidR="00713FCF" w:rsidRDefault="00E30F2F">
      <w:pPr>
        <w:pStyle w:val="Akapitzlist"/>
        <w:numPr>
          <w:ilvl w:val="0"/>
          <w:numId w:val="4"/>
        </w:numPr>
        <w:jc w:val="both"/>
      </w:pPr>
      <w:r>
        <w:t>Kodeksie Pracy w zapisach zabraniających praktyk dyskryminacyjnych wobec osób niepełnosprawnych.</w:t>
      </w:r>
    </w:p>
    <w:p w:rsidR="00713FCF" w:rsidRDefault="00E30F2F">
      <w:pPr>
        <w:pStyle w:val="Standard"/>
        <w:jc w:val="both"/>
      </w:pPr>
      <w:r>
        <w:t>Program jest zgodny z:</w:t>
      </w:r>
    </w:p>
    <w:p w:rsidR="00713FCF" w:rsidRDefault="00E30F2F">
      <w:pPr>
        <w:pStyle w:val="Akapitzlist"/>
        <w:numPr>
          <w:ilvl w:val="0"/>
          <w:numId w:val="14"/>
        </w:numPr>
        <w:jc w:val="both"/>
      </w:pPr>
      <w:r>
        <w:t>Powiatową Strategią Rozwiązywania problemów społecznych 2016-2</w:t>
      </w:r>
      <w:r>
        <w:t>025,</w:t>
      </w:r>
    </w:p>
    <w:p w:rsidR="00713FCF" w:rsidRDefault="00E30F2F">
      <w:pPr>
        <w:pStyle w:val="Akapitzlist"/>
        <w:numPr>
          <w:ilvl w:val="0"/>
          <w:numId w:val="3"/>
        </w:numPr>
        <w:jc w:val="both"/>
      </w:pPr>
      <w:r>
        <w:t>Programem Operacyjnym Kapitał Ludzki,</w:t>
      </w:r>
    </w:p>
    <w:p w:rsidR="00713FCF" w:rsidRDefault="00E30F2F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Strategią Polityki Społecznej Województwa Pomorskiego 2014-2020 (zał. nr 1 do uchwały 763/XXXVI/13 Sejmiku Województwa Pomorskiego z dnia 20.12.2013)</w:t>
      </w:r>
    </w:p>
    <w:p w:rsidR="00713FCF" w:rsidRDefault="00E30F2F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Program będzie realizował następujące cele: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 xml:space="preserve">1. </w:t>
      </w:r>
      <w:r>
        <w:rPr>
          <w:color w:val="000000"/>
        </w:rPr>
        <w:t>usprawnienie systemu informacji dotyczącej problematyki osób niepełnosprawnych,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 xml:space="preserve">2. </w:t>
      </w:r>
      <w:r>
        <w:rPr>
          <w:color w:val="000000"/>
        </w:rPr>
        <w:t>zintegrowanie podmiotów działających w imieniu i na rzecz osób niepełnosprawnych,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 xml:space="preserve">3. </w:t>
      </w:r>
      <w:r>
        <w:rPr>
          <w:color w:val="000000"/>
        </w:rPr>
        <w:t>likwidacja głównych przyczyn izolacji społecznej,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wyeliminowanie lub zmniejszenie </w:t>
      </w:r>
      <w:r>
        <w:rPr>
          <w:color w:val="000000"/>
        </w:rPr>
        <w:t>barier ograniczających uczestnictwo w życiu społecznym, zawodowym i dostępie do edukacji,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 xml:space="preserve">5. </w:t>
      </w:r>
      <w:r>
        <w:rPr>
          <w:color w:val="000000"/>
        </w:rPr>
        <w:t>wyrównanie szans osób niepełnosprawnych, zamieszkujących regiony słabo rozwinięte gospodarczo i społecznie w dostępie do rehabilitacji zawodowej i społecznej,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>6.</w:t>
      </w:r>
      <w:r>
        <w:rPr>
          <w:b/>
          <w:color w:val="000000"/>
        </w:rPr>
        <w:t xml:space="preserve"> </w:t>
      </w:r>
      <w:r>
        <w:rPr>
          <w:color w:val="000000"/>
        </w:rPr>
        <w:t>tworzenie warunków umożliwiających łagodzenie skutków niepełnosprawności,</w:t>
      </w:r>
    </w:p>
    <w:p w:rsidR="00713FCF" w:rsidRDefault="00E30F2F">
      <w:pPr>
        <w:pStyle w:val="Standard"/>
        <w:jc w:val="both"/>
      </w:pPr>
      <w:r>
        <w:rPr>
          <w:b/>
          <w:color w:val="000000"/>
        </w:rPr>
        <w:t xml:space="preserve">7. </w:t>
      </w:r>
      <w:r>
        <w:rPr>
          <w:color w:val="000000"/>
        </w:rPr>
        <w:t>ograniczanie skutków bezrobocia osób niepełnosprawnych, co wpłynie na wyrównywanie szans</w:t>
      </w:r>
    </w:p>
    <w:p w:rsidR="00713FCF" w:rsidRDefault="00E30F2F">
      <w:pPr>
        <w:pStyle w:val="Standard"/>
        <w:jc w:val="both"/>
      </w:pPr>
      <w:r>
        <w:rPr>
          <w:color w:val="000000"/>
        </w:rPr>
        <w:t>osób niepełnosprawnych i przeciwdziała ich wykluczeniu społecznemu, a instytucjom pomoże</w:t>
      </w:r>
      <w:r>
        <w:rPr>
          <w:color w:val="000000"/>
        </w:rPr>
        <w:t xml:space="preserve">                              w realizacji zadań na rzecz zatrudniania osób niepełnosprawnych.</w:t>
      </w:r>
    </w:p>
    <w:p w:rsidR="00713FCF" w:rsidRDefault="00E30F2F">
      <w:pPr>
        <w:pStyle w:val="Standard"/>
        <w:jc w:val="center"/>
        <w:rPr>
          <w:color w:val="000000"/>
        </w:rPr>
      </w:pPr>
      <w:r>
        <w:rPr>
          <w:color w:val="000000"/>
        </w:rPr>
        <w:t>3</w:t>
      </w:r>
    </w:p>
    <w:p w:rsidR="00713FCF" w:rsidRDefault="00E30F2F">
      <w:pPr>
        <w:pStyle w:val="Textbody"/>
      </w:pPr>
      <w:r>
        <w:rPr>
          <w:rStyle w:val="StrongEmphasis"/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>
        <w:rPr>
          <w:rStyle w:val="StrongEmphasis"/>
          <w:sz w:val="28"/>
          <w:szCs w:val="28"/>
        </w:rPr>
        <w:t>Istota programu (misja)</w:t>
      </w:r>
    </w:p>
    <w:p w:rsidR="00713FCF" w:rsidRDefault="00E30F2F">
      <w:pPr>
        <w:pStyle w:val="Textbody"/>
        <w:ind w:firstLine="709"/>
        <w:jc w:val="both"/>
      </w:pPr>
      <w:r>
        <w:t xml:space="preserve">Głównym założeniem Programu jest teza, że osoby niepełnosprawne – jako pełnoprawni </w:t>
      </w:r>
      <w:r>
        <w:lastRenderedPageBreak/>
        <w:t xml:space="preserve">członkowie społeczności lokalnej – </w:t>
      </w:r>
      <w:r>
        <w:t>potrzebują niekiedy więcej wsparcia ze strony społeczeństwa, by móc osiągnąć takie same warunki życia, jak inni obywatele. To wsparcie nie powinno być nigdy traktowane jak przywilej, ale jako przysługujące prawo. W niniejszym Programie różne formy wsparcia</w:t>
      </w:r>
      <w:r>
        <w:t xml:space="preserve"> skonkretyzowane w celach strategicznych i zadaniach dotyczą: prewencji, rehabilitacji                     i wyrównywania szans osób niepełnosprawnych.</w:t>
      </w:r>
    </w:p>
    <w:p w:rsidR="00713FCF" w:rsidRDefault="00E30F2F">
      <w:pPr>
        <w:pStyle w:val="Textbody"/>
        <w:ind w:firstLine="709"/>
        <w:jc w:val="both"/>
      </w:pPr>
      <w:r>
        <w:t>Działania prewencyjne mają na celu zapobieżenie powstawaniu upośledzeń, dysfunkcji, chorób, a w przypad</w:t>
      </w:r>
      <w:r>
        <w:t xml:space="preserve">ku ich powstania – łagodzenie skutków i przeciwdziałanie ujemnym konsekwencjom fizycznym, psychologicznym i społecznym. W tej grupie działań będą mieściły się zarówno profilaktyczne badania pozwalające na wczesne wykrycie niepełnosprawności, jak           </w:t>
      </w:r>
      <w:r>
        <w:t xml:space="preserve">                       i szeroko rozumiane poradnictwo, w tym psychologiczne, pedagogiczne, zawodowe itp.</w:t>
      </w:r>
    </w:p>
    <w:p w:rsidR="00713FCF" w:rsidRDefault="00E30F2F">
      <w:pPr>
        <w:pStyle w:val="Textbody"/>
        <w:ind w:firstLine="709"/>
        <w:jc w:val="both"/>
      </w:pPr>
      <w:r>
        <w:t xml:space="preserve">Rehabilitacja ma umożliwić osobie niepełnosprawnej osiągnięcie optymalnego poziomu funkcjonalnego – umysłowego, fizycznego i/albo społecznego, który </w:t>
      </w:r>
      <w:r>
        <w:t>pozwoli jej na uzyskanie podstaw do zmiany swego życia. Dzięki różnym formom rehabilitacji osoba niepełnosprawna będzie miała szanse funkcjonować w społeczeństwie pomimo ograniczeń wynikających ze stanu zdrowia. Będzie temu służyła realizacja zadań z zakre</w:t>
      </w:r>
      <w:r>
        <w:t>su rehabilitacji społecznej (np. zaopatrzenie w sprzęt rehabilitacyjny, likwidacja barier technicznych) i zawodowej (szkolenia, staże, doradztwo zawodowe).</w:t>
      </w:r>
    </w:p>
    <w:p w:rsidR="00713FCF" w:rsidRDefault="00E30F2F">
      <w:pPr>
        <w:pStyle w:val="Textbody"/>
        <w:ind w:firstLine="709"/>
        <w:jc w:val="both"/>
      </w:pPr>
      <w:r>
        <w:t>Wyrównywanie szans zakłada prowadzenie takiej polityki, która będzie niweczyła różnice      w dostę</w:t>
      </w:r>
      <w:r>
        <w:t>pie do istniejących dóbr (np. różnego rodzaju usługi, informacja, edukacja, zatrudnienie, opieka medyczna) pomiędzy osobami niepełnosprawnymi a pozostałymi członkami społeczności. Podejmowane działania będą stwarzały warunki do udziału osób niepełnosprawny</w:t>
      </w:r>
      <w:r>
        <w:t>m w życiu publicznym, kulturalnym, społecznym na równi z osobami sprawnymi.</w:t>
      </w:r>
    </w:p>
    <w:p w:rsidR="00713FCF" w:rsidRDefault="00E30F2F">
      <w:pPr>
        <w:pStyle w:val="Textbody"/>
        <w:ind w:firstLine="709"/>
        <w:jc w:val="both"/>
      </w:pPr>
      <w:r>
        <w:t>Poprzez dostrzeganie specyficznych potrzeb wynikających z różnych rodzajów niepełnosprawności ułatwia się osobom niepełnosprawnym ich realizację. Dzięki temu osoby te stają się ba</w:t>
      </w:r>
      <w:r>
        <w:t>rdziej samodzielne, świadome nie tylko własnych ograniczeń, ale przede wszystkim potencjału.</w:t>
      </w:r>
    </w:p>
    <w:p w:rsidR="00713FCF" w:rsidRDefault="00E30F2F">
      <w:pPr>
        <w:pStyle w:val="Textbody"/>
        <w:ind w:firstLine="709"/>
        <w:jc w:val="both"/>
        <w:rPr>
          <w:color w:val="000000"/>
        </w:rPr>
      </w:pPr>
      <w:r>
        <w:rPr>
          <w:color w:val="000000"/>
        </w:rPr>
        <w:t>Zaproponowane w Programie działania obejmują – zgodnie ze wskazaniami ustawy                                o rehabilitacji zawodowej i społecznej oraz zatrudnian</w:t>
      </w:r>
      <w:r>
        <w:rPr>
          <w:color w:val="000000"/>
        </w:rPr>
        <w:t>iu osób niepełnosprawnych – rehabilitację społeczną, rehabilitację zawodową oraz przedsięwzięcia zmierzające do przestrzegania praw osób niepełnosprawnych. Formułuje je przyjęta w 1997 r. przez Sejm Rzeczypospolitej Polskiej Karta Praw Osób Niepełnosprawny</w:t>
      </w:r>
      <w:r>
        <w:rPr>
          <w:color w:val="000000"/>
        </w:rPr>
        <w:t>ch, stanowiąca, że osoby niepełnosprawne w szczególności mają prawo do: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>dostępu do dóbr i usług umożliwiających pełne uczestnictwo w życiu społecznym,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 xml:space="preserve"> </w:t>
      </w:r>
      <w:r>
        <w:t>dostępu do leczenia i opieki medycznej, wczesnej diagnostyki, rehabilitacji i edukacji leczniczej, a ta</w:t>
      </w:r>
      <w:r>
        <w:t>kże do świadczeń zdrowotnych uwzględniających rodzaj i stopień niepełnosprawności, w tym do zaopatrzenia w przedmioty ortopedyczne, środki pomocnicze, sprzęt rehabilitacyjny,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 xml:space="preserve"> </w:t>
      </w:r>
      <w:r>
        <w:t>dostępu do wszechstronnej rehabilitacji mającej na celu adaptację społeczną,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 xml:space="preserve"> </w:t>
      </w:r>
      <w:r>
        <w:t>nauki w szkołach wspólnie ze swymi pełnosprawnymi rówieśnikami, jak również do korzystania ze szkolnictwa specjalnego lub edukacji indywidualnej,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 xml:space="preserve"> </w:t>
      </w:r>
      <w:r>
        <w:t>pomocy psychologicznej, pedagogicznej i innej pomocy specjalistycznej umożliwiającej rozwój, zdobycie lub po</w:t>
      </w:r>
      <w:r>
        <w:t>dniesienie kwalifikacji ogólnych i zawodowych,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 xml:space="preserve"> </w:t>
      </w:r>
      <w:r>
        <w:t xml:space="preserve">pracy na otwartym rynku pracy zgodnie z kwalifikacjami, wykształceniem i możliwościami oraz korzystania z doradztwa zawodowego i pośrednictwa, a gdy niepełnosprawność i stan                            </w:t>
      </w:r>
    </w:p>
    <w:p w:rsidR="00713FCF" w:rsidRDefault="00E30F2F">
      <w:pPr>
        <w:pStyle w:val="Textbody"/>
        <w:spacing w:after="0"/>
        <w:jc w:val="center"/>
      </w:pPr>
      <w:r>
        <w:t>4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>zdr</w:t>
      </w:r>
      <w:r>
        <w:t>owia tego wymaga - prawo do pracy w warunkach dostosowanych do potrzeb niepełnosprawnych,</w:t>
      </w:r>
    </w:p>
    <w:p w:rsidR="00713FCF" w:rsidRDefault="00E30F2F">
      <w:pPr>
        <w:pStyle w:val="Textbody"/>
        <w:numPr>
          <w:ilvl w:val="0"/>
          <w:numId w:val="15"/>
        </w:numPr>
        <w:spacing w:after="0"/>
        <w:jc w:val="both"/>
      </w:pPr>
      <w:r>
        <w:t xml:space="preserve">zabezpieczenia społecznego uwzględniającego konieczność ponoszenia zwiększonych kosztów wynikających z niepełnosprawności, jak również uwzględnienia tych </w:t>
      </w:r>
      <w:r>
        <w:t>kosztów                        w systemie podatkowym,</w:t>
      </w:r>
    </w:p>
    <w:p w:rsidR="00713FCF" w:rsidRDefault="00E30F2F">
      <w:pPr>
        <w:pStyle w:val="Textbody"/>
        <w:numPr>
          <w:ilvl w:val="0"/>
          <w:numId w:val="15"/>
        </w:numPr>
        <w:jc w:val="both"/>
      </w:pPr>
      <w:r>
        <w:t xml:space="preserve"> </w:t>
      </w:r>
      <w:r>
        <w:t>życia w środowisku wolnym od barier funkcjonalnych, w tym:</w:t>
      </w:r>
    </w:p>
    <w:p w:rsidR="00713FCF" w:rsidRDefault="00E30F2F">
      <w:pPr>
        <w:pStyle w:val="Textbody"/>
        <w:ind w:left="720" w:hanging="360"/>
        <w:jc w:val="both"/>
      </w:pPr>
      <w:r>
        <w:rPr>
          <w:rFonts w:ascii="Symbol" w:hAnsi="Symbol"/>
        </w:rPr>
        <w:lastRenderedPageBreak/>
        <w:t></w:t>
      </w:r>
      <w:r>
        <w:rPr>
          <w:rFonts w:ascii="Symbol" w:hAnsi="Symbol"/>
        </w:rPr>
        <w:t></w:t>
      </w:r>
      <w:r>
        <w:t>dostępu do urzędów, punktów wyborczych i obiektów użyteczności publicznej,</w:t>
      </w:r>
    </w:p>
    <w:p w:rsidR="00713FCF" w:rsidRDefault="00E30F2F">
      <w:pPr>
        <w:pStyle w:val="Textbody"/>
        <w:ind w:left="720" w:hanging="360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swobodnego przemieszczania się i powszechnego korzystania ze</w:t>
      </w:r>
      <w:r>
        <w:t xml:space="preserve"> środków transportu,</w:t>
      </w:r>
    </w:p>
    <w:p w:rsidR="00713FCF" w:rsidRDefault="00E30F2F">
      <w:pPr>
        <w:pStyle w:val="Textbody"/>
        <w:ind w:left="720" w:hanging="360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dostępu do informacji,</w:t>
      </w:r>
    </w:p>
    <w:p w:rsidR="00713FCF" w:rsidRDefault="00E30F2F">
      <w:pPr>
        <w:pStyle w:val="Textbody"/>
        <w:ind w:left="720" w:hanging="360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możliwości komunikacji międzyludzkiej,</w:t>
      </w:r>
    </w:p>
    <w:p w:rsidR="00713FCF" w:rsidRDefault="00E30F2F">
      <w:pPr>
        <w:pStyle w:val="Textbody"/>
        <w:ind w:left="720" w:hanging="360"/>
        <w:jc w:val="both"/>
      </w:pPr>
      <w:r>
        <w:t>9.</w:t>
      </w:r>
      <w:r>
        <w:t xml:space="preserve">  </w:t>
      </w:r>
      <w:r>
        <w:t>posiadania samorządnej reprezentacji swego środowiska oraz do konsultowania z nim wszelkich projektów aktów prawnych dotyczących osób niepełnosprawnych,</w:t>
      </w:r>
    </w:p>
    <w:p w:rsidR="00713FCF" w:rsidRDefault="00E30F2F">
      <w:pPr>
        <w:pStyle w:val="Textbody"/>
        <w:ind w:left="720" w:hanging="360"/>
        <w:jc w:val="both"/>
      </w:pPr>
      <w:r>
        <w:t>10. pełneg</w:t>
      </w:r>
      <w:r>
        <w:t>o uczestnictwa w życiu publicznym, społecznym, kulturalnym, artystycznym, sportowym oraz rekreacji i turystyce odpowiednio do swych zainteresowań i potrzeb.</w:t>
      </w:r>
    </w:p>
    <w:p w:rsidR="00713FCF" w:rsidRDefault="00E30F2F">
      <w:pPr>
        <w:pStyle w:val="Textbody"/>
        <w:ind w:firstLine="709"/>
        <w:jc w:val="both"/>
        <w:rPr>
          <w:color w:val="000000"/>
        </w:rPr>
      </w:pPr>
      <w:r>
        <w:rPr>
          <w:color w:val="000000"/>
        </w:rPr>
        <w:t>„Osoby niepełnosprawne, osiągające równe prawa, powinny także posiadać równe obowiązki. W momencie</w:t>
      </w:r>
      <w:r>
        <w:rPr>
          <w:color w:val="000000"/>
        </w:rPr>
        <w:t>, gdy prawa te zostaną osiągnięte, społeczeństwa powinny zwiększyć swe oczekiwania względem osób</w:t>
      </w:r>
      <w:r>
        <w:rPr>
          <w:color w:val="000000"/>
          <w:sz w:val="20"/>
        </w:rPr>
        <w:t xml:space="preserve"> </w:t>
      </w:r>
      <w:r>
        <w:rPr>
          <w:color w:val="000000"/>
        </w:rPr>
        <w:t>niepełnosprawnych. Częścią procesu wyrównywania szans powinno stać się niesienie pomocy osobom niepełnosprawnym w tym, by mogły wziąć na siebie pełną odpowiedz</w:t>
      </w:r>
      <w:r>
        <w:rPr>
          <w:color w:val="000000"/>
        </w:rPr>
        <w:t>ialność jako członkowie społeczeństwa” (Standardowe Zasady Wyrównywania Szans Osób Niepełnosprawnych przyjęte na 48 sesji Zgromadzenia Ogólnego Narodów Zjednoczonych dnia 20 grudnia 1993 r.).</w:t>
      </w: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713FCF">
      <w:pPr>
        <w:pStyle w:val="Standard"/>
        <w:rPr>
          <w:color w:val="000000"/>
        </w:rPr>
      </w:pPr>
    </w:p>
    <w:p w:rsidR="00713FCF" w:rsidRDefault="00E30F2F">
      <w:pPr>
        <w:pStyle w:val="Standard"/>
        <w:jc w:val="center"/>
        <w:rPr>
          <w:color w:val="000000"/>
        </w:rPr>
      </w:pPr>
      <w:r>
        <w:rPr>
          <w:color w:val="000000"/>
        </w:rPr>
        <w:t>5</w:t>
      </w:r>
    </w:p>
    <w:p w:rsidR="00713FCF" w:rsidRDefault="00E30F2F">
      <w:pPr>
        <w:pStyle w:val="Standard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III. </w:t>
      </w:r>
      <w:r>
        <w:rPr>
          <w:b/>
          <w:color w:val="000000"/>
          <w:sz w:val="28"/>
        </w:rPr>
        <w:t>Niepełnosprawność jako problem społeczny – opis problemu</w:t>
      </w:r>
    </w:p>
    <w:p w:rsidR="00713FCF" w:rsidRDefault="00713FCF">
      <w:pPr>
        <w:pStyle w:val="Standard"/>
        <w:jc w:val="both"/>
        <w:rPr>
          <w:b/>
          <w:color w:val="000000"/>
          <w:sz w:val="28"/>
        </w:rPr>
      </w:pPr>
    </w:p>
    <w:p w:rsidR="00713FCF" w:rsidRDefault="00E30F2F">
      <w:pPr>
        <w:pStyle w:val="Standard"/>
        <w:jc w:val="both"/>
        <w:rPr>
          <w:b/>
          <w:color w:val="000000"/>
        </w:rPr>
      </w:pPr>
      <w:r>
        <w:rPr>
          <w:color w:val="000000"/>
        </w:rPr>
        <w:t>Program jest skierowany do niepełnosprawnych mieszkańców Powiatu Malborskiego oraz ich rodzin.</w:t>
      </w:r>
    </w:p>
    <w:p w:rsidR="00713FCF" w:rsidRDefault="00713FCF">
      <w:pPr>
        <w:pStyle w:val="Standard"/>
        <w:jc w:val="both"/>
        <w:rPr>
          <w:b/>
          <w:color w:val="000000"/>
        </w:rPr>
      </w:pP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dniu 6 września 2012r. Polska ratyfikowała Konwencję o prawach osób </w:t>
      </w:r>
      <w:r>
        <w:rPr>
          <w:color w:val="000000"/>
        </w:rPr>
        <w:t>niepełnosprawnych. Konwencja to pierwszy międzynarodowy akt prawny, który w kompleksowy sposób mówi                                 o kwestiach niepełnosprawności. Konwencja ta określa co należy robić, aby wszystkie prawa człowieka i podstawowe wolności, k</w:t>
      </w:r>
      <w:r>
        <w:rPr>
          <w:color w:val="000000"/>
        </w:rPr>
        <w:t>tóre są przywilejem każdego były dostępne także dla osób niepełnosprawnych.</w:t>
      </w:r>
    </w:p>
    <w:p w:rsidR="00713FCF" w:rsidRDefault="00E30F2F">
      <w:pPr>
        <w:pStyle w:val="Standard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”Celem niniejszej Konwencji jest popieranie, ochrona i zapewnienie pełnego i równego korzystania ze wszystkich praw człowieka i podstawowych wolności przez wszystkie osoby niepełn</w:t>
      </w:r>
      <w:r>
        <w:rPr>
          <w:i/>
          <w:color w:val="000000"/>
        </w:rPr>
        <w:t>osprawne oraz popieranie poszanowania ich przyrodzonej godności.</w:t>
      </w:r>
    </w:p>
    <w:p w:rsidR="00713FCF" w:rsidRDefault="00E30F2F">
      <w:pPr>
        <w:pStyle w:val="Standard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Do osób niepełnosprawnych zaliczają się te osoby, które mają długotrwałe fizyczne, umysłowe, intelektualne oraz dotyczące zmysłów uszkodzenia mogące w oddziaływaniu z różnymi barierami utrud</w:t>
      </w:r>
      <w:r>
        <w:rPr>
          <w:i/>
          <w:iCs/>
          <w:color w:val="000000"/>
        </w:rPr>
        <w:t>niać im pełne i skuteczne uczestnictwo w społeczeństwie na zasadach równości z innymi osobami” (art. 1 Konwencji).</w:t>
      </w: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>Natomiast ustawa z dnia 27 sierpnia 1997 roku o rehabilitacji zawodowej i społecznej oraz zatrudnianiu osób niepełnosprawnych zawęża powyższ</w:t>
      </w:r>
      <w:r>
        <w:rPr>
          <w:color w:val="000000"/>
        </w:rPr>
        <w:t>ą definicję określając:</w:t>
      </w:r>
    </w:p>
    <w:p w:rsidR="00713FCF" w:rsidRDefault="00E30F2F">
      <w:pPr>
        <w:pStyle w:val="Standard"/>
        <w:jc w:val="both"/>
        <w:rPr>
          <w:i/>
          <w:color w:val="000000"/>
        </w:rPr>
      </w:pPr>
      <w:r>
        <w:rPr>
          <w:i/>
          <w:color w:val="000000"/>
        </w:rPr>
        <w:t>“Niepełnosprawnymi są osoby, których stan fizyczny, psychiczny lub umysłowy trwale lub okresowo utrudnia, ogranicza bądź uniemożliwia wypełnianie ról społecznych, a w szczególności ogranicza zdolności do wykonywania pracy zawodowej</w:t>
      </w:r>
      <w:r>
        <w:rPr>
          <w:i/>
          <w:color w:val="000000"/>
        </w:rPr>
        <w:t>, jeśli uzyskały orzeczenie”.</w:t>
      </w:r>
    </w:p>
    <w:p w:rsidR="00713FCF" w:rsidRDefault="00713FCF">
      <w:pPr>
        <w:pStyle w:val="Standard"/>
        <w:jc w:val="both"/>
        <w:rPr>
          <w:i/>
          <w:color w:val="000000"/>
        </w:rPr>
      </w:pP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ab/>
        <w:t>Dla potrzeb Powiatowego Programu przyjmujemy obie definicje, stosując określenie                             z Ustawy do realizacji zadań z niej wynikających. Biorąc pod uwagę powyższe definicje niepełnosprawność przedstawi</w:t>
      </w:r>
      <w:r>
        <w:rPr>
          <w:color w:val="000000"/>
        </w:rPr>
        <w:t>a się, jako zjawisko różnorakie, które obejmuje wiele ograniczeń funkcjonalnych o charakterze fizycznym lub intelektualnym. Może wynikać z choroby somatycznej lub umysłowej, również może mieć charakter stały lub przejściowy. Występuje we wszystkich grupach</w:t>
      </w:r>
      <w:r>
        <w:rPr>
          <w:color w:val="000000"/>
        </w:rPr>
        <w:t xml:space="preserve"> wiekowych.</w:t>
      </w:r>
    </w:p>
    <w:p w:rsidR="00713FCF" w:rsidRDefault="00E30F2F">
      <w:pPr>
        <w:pStyle w:val="Standard"/>
        <w:jc w:val="both"/>
      </w:pPr>
      <w:r>
        <w:t xml:space="preserve"> </w:t>
      </w:r>
    </w:p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jc w:val="both"/>
      </w:pPr>
      <w:r>
        <w:tab/>
        <w:t xml:space="preserve"> Opracowany Program jest dokumentem służącym realizacji polityki socjalnej. Stanowi podstawę do opracowania i realizacji programów celowych na rzecz osób niepełnosprawnych                           i pozyskania dodatkowych środków na progr</w:t>
      </w:r>
      <w:r>
        <w:t>amy z Państwowego Funduszu Osób Niepełnosprawnych, jak również umożliwiające wykorzystanie środków z Unii Europejskiej, a w szczególności Europejskiego Funduszu Społecznego.</w:t>
      </w:r>
    </w:p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jc w:val="both"/>
      </w:pPr>
      <w:r>
        <w:t>Rozpoznanie i zdiagnozowanie potrzeb osób niepełnosprawnych, a także podejmowanie</w:t>
      </w:r>
      <w:r>
        <w:t xml:space="preserve"> działań mających na celu wyeliminowanie przeszkód utrudniających osobom niepełnosprawnym aktywny udział w życiu społecznym zapobiega marginalizowaniu i wykluczeniu społecznemu tej grupy osób.</w:t>
      </w:r>
    </w:p>
    <w:p w:rsidR="00713FCF" w:rsidRDefault="00E30F2F">
      <w:pPr>
        <w:pStyle w:val="Standard"/>
        <w:jc w:val="both"/>
        <w:rPr>
          <w:sz w:val="23"/>
        </w:rPr>
      </w:pPr>
      <w:r>
        <w:t>Tradycyjne procesy społeczne i ekonomiczne przebiegają w oparci</w:t>
      </w:r>
      <w:r>
        <w:t>u o założenia związane                             z pojęciem normalności, które nie uwzględnia osób z niepełnosprawnością. Modelowy przykład dotyczy organizacji systemu transportu i budynków użyteczności publicznej. Były one i jeszcze często są dla „przec</w:t>
      </w:r>
      <w:r>
        <w:t>iętnego” człowieka i nie uwzględniają osób z ograniczoną mobilnością. W ten sposób możliwości ich udziału w danej dziedzinie życia społecznego znacznie się zmniejsza.                          Do powstania takich stereotypów przyłożył się brak obecności osó</w:t>
      </w:r>
      <w:r>
        <w:t>b z niepełnosprawnością                           w głównych gałęziach życia. Nieznajomość środowiska osób niepełnosprawnych doprowadziła do ich wykluczenia społecznego, a także do samonapędzającego się procesu marginalizacji.</w:t>
      </w:r>
    </w:p>
    <w:p w:rsidR="00713FCF" w:rsidRDefault="00E30F2F">
      <w:pPr>
        <w:pStyle w:val="Standard"/>
        <w:jc w:val="center"/>
      </w:pPr>
      <w:r>
        <w:t>6</w:t>
      </w:r>
    </w:p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jc w:val="both"/>
      </w:pPr>
      <w:r>
        <w:tab/>
        <w:t>Właśnie poprzez takie po</w:t>
      </w:r>
      <w:r>
        <w:t>stawy społeczne powstają uprzedzenia, niechęć, a w konsekwencji dyskryminacja.</w:t>
      </w:r>
    </w:p>
    <w:p w:rsidR="00713FCF" w:rsidRDefault="00E30F2F">
      <w:pPr>
        <w:pStyle w:val="Standard"/>
        <w:rPr>
          <w:sz w:val="28"/>
          <w:szCs w:val="28"/>
        </w:rPr>
      </w:pPr>
      <w:r>
        <w:tab/>
        <w:t>Marginalizacja i dyskryminacja ze względu na niesprawność obciążają również ogromnymi kosztami budżet państwa.</w:t>
      </w:r>
    </w:p>
    <w:p w:rsidR="00713FCF" w:rsidRDefault="00E30F2F">
      <w:pPr>
        <w:pStyle w:val="Standard"/>
        <w:jc w:val="both"/>
      </w:pPr>
      <w:r>
        <w:tab/>
        <w:t>Z nieznajomości problemów osób niepełnosprawnych, braku doświadczeń w kontaktach                    z nimi wynika, że są traktowani jako „odmieńcy”. Jest to główna przyczyna nieumiejętności zachowania się wobec nich.</w:t>
      </w:r>
    </w:p>
    <w:p w:rsidR="00713FCF" w:rsidRDefault="00E30F2F">
      <w:pPr>
        <w:pStyle w:val="Standard"/>
        <w:jc w:val="both"/>
      </w:pPr>
      <w:r>
        <w:t xml:space="preserve">To wszystko może wywołać wśród osób </w:t>
      </w:r>
      <w:r>
        <w:t>niepełnosprawnych poczucie odrzucenia i wycofania się                   z działań związanych z pokonywaniem różnorodnych barier. Brak akceptacji dla samych siebie to też wynik nietolerancji i brak akceptacji społecznej wywołujące różnego rodzaju  frustracj</w:t>
      </w:r>
      <w:r>
        <w:t>e i brak zaufania. Uczestnictwo tych osób w życiu społecznym zależy nie tylko od nich samych ale jaki klimat i warunki stworzy społeczeństwo, aby mogli znaleźć swoje miejsce obok ludzi sprawnych.</w:t>
      </w:r>
    </w:p>
    <w:p w:rsidR="00713FCF" w:rsidRDefault="00E30F2F">
      <w:pPr>
        <w:pStyle w:val="Standard"/>
        <w:jc w:val="both"/>
        <w:rPr>
          <w:sz w:val="28"/>
          <w:szCs w:val="28"/>
        </w:rPr>
      </w:pPr>
      <w:r>
        <w:lastRenderedPageBreak/>
        <w:t>Pomimo podejmowania coraz szerszych działań na rzecz wyrówny</w:t>
      </w:r>
      <w:r>
        <w:t>wania szans osób niepełnosprawnych, w dalszym ciągu utrudniony jest dostęp tych osób do kultury i oświaty,                           a istniejące wciąż bariery architektoniczne, urbanistyczne i komunikacyjne uniemożliwiają im pełne uczestnictwo w życiu spo</w:t>
      </w:r>
      <w:r>
        <w:t>łecznym. Ze względu na niesprawność organizmu osoby niepełnosprawne mają poważne trudności i nie powracają do czynnego życia, ponieważ trudno im znaleźć pracę ,                   co przyczynia się do znacznego wykluczenia społecznego tych osób.</w:t>
      </w:r>
    </w:p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rPr>
          <w:b/>
          <w:bCs/>
        </w:rPr>
      </w:pPr>
      <w:r>
        <w:rPr>
          <w:b/>
          <w:bCs/>
        </w:rPr>
        <w:t>Liczba wyd</w:t>
      </w:r>
      <w:r>
        <w:rPr>
          <w:b/>
          <w:bCs/>
        </w:rPr>
        <w:t>anych orzeczeń o niepełnosprawności w powiecie malborskim</w:t>
      </w:r>
    </w:p>
    <w:p w:rsidR="00713FCF" w:rsidRDefault="00713FCF">
      <w:pPr>
        <w:pStyle w:val="Standard"/>
      </w:pPr>
    </w:p>
    <w:tbl>
      <w:tblPr>
        <w:tblW w:w="957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755"/>
        <w:gridCol w:w="2235"/>
        <w:gridCol w:w="2220"/>
        <w:gridCol w:w="2220"/>
      </w:tblGrid>
      <w:tr w:rsidR="00713FC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osoby poniżej 16 roku życia</w:t>
            </w:r>
          </w:p>
        </w:tc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lekki stopień niepełnosprawności</w:t>
            </w:r>
          </w:p>
        </w:tc>
        <w:tc>
          <w:tcPr>
            <w:tcW w:w="2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umiarkowany stopień niepełnosprawności</w:t>
            </w:r>
          </w:p>
        </w:tc>
        <w:tc>
          <w:tcPr>
            <w:tcW w:w="2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znaczny stopień niepełnosprawności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2010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290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304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845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607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216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301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918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774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2012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252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193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957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840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2013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216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240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1015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801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2014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231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241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957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color w:val="000000"/>
                <w:sz w:val="26"/>
                <w:szCs w:val="26"/>
                <w:lang w:eastAsia="pl-PL"/>
              </w:rPr>
            </w:pPr>
            <w:r>
              <w:rPr>
                <w:color w:val="000000"/>
                <w:sz w:val="26"/>
                <w:szCs w:val="26"/>
                <w:lang w:eastAsia="pl-PL"/>
              </w:rPr>
              <w:t>773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223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</w:t>
            </w:r>
          </w:p>
        </w:tc>
        <w:tc>
          <w:tcPr>
            <w:tcW w:w="22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3FCF" w:rsidRDefault="00E30F2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</w:t>
            </w:r>
          </w:p>
        </w:tc>
      </w:tr>
    </w:tbl>
    <w:p w:rsidR="00713FCF" w:rsidRDefault="00E30F2F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224280</wp:posOffset>
            </wp:positionH>
            <wp:positionV relativeFrom="paragraph">
              <wp:posOffset>125640</wp:posOffset>
            </wp:positionV>
            <wp:extent cx="5759280" cy="2346480"/>
            <wp:effectExtent l="0" t="0" r="0" b="0"/>
            <wp:wrapSquare wrapText="bothSides"/>
            <wp:docPr id="4" name="Obiekt2" descr="wykr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both"/>
        <w:rPr>
          <w:i/>
          <w:iCs/>
          <w:sz w:val="22"/>
          <w:szCs w:val="22"/>
        </w:rPr>
      </w:pPr>
    </w:p>
    <w:p w:rsidR="00713FCF" w:rsidRDefault="00713FCF">
      <w:pPr>
        <w:pStyle w:val="Standard"/>
        <w:jc w:val="center"/>
        <w:rPr>
          <w:i/>
          <w:iCs/>
          <w:sz w:val="22"/>
          <w:szCs w:val="22"/>
        </w:rPr>
      </w:pPr>
    </w:p>
    <w:p w:rsidR="00713FCF" w:rsidRDefault="00E30F2F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Źrodło: Opracowanie własne na podstawie danych Powiatowego Zespołu ds Orzekania o Niepełnosprawności                             w Malborku.</w:t>
      </w:r>
    </w:p>
    <w:p w:rsidR="00713FCF" w:rsidRDefault="00E30F2F">
      <w:pPr>
        <w:pStyle w:val="Standard"/>
        <w:jc w:val="center"/>
        <w:rPr>
          <w:b/>
          <w:bCs/>
        </w:rPr>
      </w:pPr>
      <w:r>
        <w:rPr>
          <w:b/>
          <w:bCs/>
        </w:rPr>
        <w:t>7</w:t>
      </w:r>
    </w:p>
    <w:p w:rsidR="00713FCF" w:rsidRDefault="00E30F2F">
      <w:pPr>
        <w:pStyle w:val="Standard"/>
        <w:rPr>
          <w:b/>
          <w:bCs/>
        </w:rPr>
      </w:pPr>
      <w:r>
        <w:rPr>
          <w:b/>
          <w:bCs/>
        </w:rPr>
        <w:t xml:space="preserve">Liczba osób </w:t>
      </w:r>
      <w:r>
        <w:rPr>
          <w:b/>
          <w:bCs/>
        </w:rPr>
        <w:t>niepełnosprawnych zarejestrowanych w PUP Malbork.</w:t>
      </w:r>
    </w:p>
    <w:p w:rsidR="00713FCF" w:rsidRDefault="00713FCF">
      <w:pPr>
        <w:pStyle w:val="Standard"/>
      </w:pPr>
    </w:p>
    <w:tbl>
      <w:tblPr>
        <w:tblW w:w="8663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663"/>
        <w:gridCol w:w="2437"/>
        <w:gridCol w:w="2429"/>
      </w:tblGrid>
      <w:tr w:rsidR="00713FC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rok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osoby niepełnosprawne bezrobotne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osoby poszukujące pracy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bezrobotni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2010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257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147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4603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2011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259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142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4746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2012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258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146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4803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2013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272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131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4952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2014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242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97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3945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2015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207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FCF" w:rsidRDefault="00E30F2F">
            <w:pPr>
              <w:pStyle w:val="Standard"/>
              <w:jc w:val="center"/>
            </w:pPr>
            <w:r>
              <w:t>3519</w:t>
            </w:r>
          </w:p>
        </w:tc>
      </w:tr>
    </w:tbl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711360</wp:posOffset>
            </wp:positionH>
            <wp:positionV relativeFrom="paragraph">
              <wp:posOffset>6480</wp:posOffset>
            </wp:positionV>
            <wp:extent cx="3197160" cy="2790720"/>
            <wp:effectExtent l="0" t="0" r="3240" b="0"/>
            <wp:wrapSquare wrapText="bothSides"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160" cy="279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Źrodło: Opracowanie własne na podstawie danych Powiatowego Urzędu Pracy w Malborku.</w:t>
      </w: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center"/>
      </w:pPr>
    </w:p>
    <w:p w:rsidR="00713FCF" w:rsidRDefault="00E30F2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 osób niepłnosprawnych korzystających z dofinansowania ze środków Państwowego Funduszu Rehabilitacji Osób Niepełnosprawnych</w:t>
      </w:r>
    </w:p>
    <w:p w:rsidR="00713FCF" w:rsidRDefault="00713FCF">
      <w:pPr>
        <w:pStyle w:val="Standard"/>
        <w:jc w:val="both"/>
      </w:pPr>
    </w:p>
    <w:tbl>
      <w:tblPr>
        <w:tblW w:w="9916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713FCF">
            <w:pPr>
              <w:pStyle w:val="Standard"/>
              <w:spacing w:line="360" w:lineRule="auto"/>
              <w:jc w:val="center"/>
              <w:rPr>
                <w:b/>
                <w:lang w:eastAsia="pl-PL"/>
              </w:rPr>
            </w:pPr>
          </w:p>
          <w:p w:rsidR="00713FCF" w:rsidRDefault="00713FCF">
            <w:pPr>
              <w:pStyle w:val="Standard"/>
              <w:spacing w:line="360" w:lineRule="auto"/>
              <w:jc w:val="center"/>
              <w:rPr>
                <w:b/>
                <w:lang w:eastAsia="pl-PL"/>
              </w:rPr>
            </w:pPr>
          </w:p>
          <w:p w:rsidR="00713FCF" w:rsidRDefault="00713FCF">
            <w:pPr>
              <w:pStyle w:val="Standard"/>
              <w:spacing w:line="360" w:lineRule="auto"/>
              <w:jc w:val="center"/>
              <w:rPr>
                <w:b/>
                <w:lang w:eastAsia="pl-PL"/>
              </w:rPr>
            </w:pPr>
          </w:p>
          <w:p w:rsidR="00713FCF" w:rsidRDefault="00E30F2F">
            <w:pPr>
              <w:pStyle w:val="Standard"/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</w:t>
            </w:r>
          </w:p>
        </w:tc>
        <w:tc>
          <w:tcPr>
            <w:tcW w:w="3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Liczba osób </w:t>
            </w:r>
            <w:r>
              <w:rPr>
                <w:sz w:val="22"/>
                <w:szCs w:val="22"/>
                <w:lang w:eastAsia="pl-PL"/>
              </w:rPr>
              <w:t>korzystających z dofinansowania zaopatrzenia w przedmioty ortopedyczne i sprzęt rehabilitacyjny</w:t>
            </w:r>
          </w:p>
        </w:tc>
        <w:tc>
          <w:tcPr>
            <w:tcW w:w="3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osób korzystających z dofinansowania do turnusów rehabilitacyjnych</w:t>
            </w:r>
          </w:p>
        </w:tc>
        <w:tc>
          <w:tcPr>
            <w:tcW w:w="3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 likwidacji barier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E30F2F"/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Ogółem wniosków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Przyznano </w:t>
            </w:r>
            <w:r>
              <w:rPr>
                <w:b/>
                <w:bCs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Ogółem wniosków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Przyznano dofinansowanie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 wniosków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Przyznano dofinansowanie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3FCF" w:rsidRDefault="00E30F2F">
            <w:pPr>
              <w:pStyle w:val="Standard"/>
              <w:spacing w:line="360" w:lineRule="auto"/>
              <w:jc w:val="center"/>
            </w:pPr>
            <w:r>
              <w:rPr>
                <w:b/>
                <w:lang w:eastAsia="pl-PL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1700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1678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454.050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561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42.983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118.143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3FCF" w:rsidRDefault="00E30F2F">
            <w:pPr>
              <w:pStyle w:val="Standard"/>
              <w:spacing w:line="360" w:lineRule="auto"/>
              <w:jc w:val="center"/>
            </w:pPr>
            <w:r>
              <w:rPr>
                <w:b/>
                <w:lang w:eastAsia="pl-PL"/>
              </w:rPr>
              <w:t>2012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2326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2329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694.402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531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362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247.274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273.722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3FCF" w:rsidRDefault="00E30F2F">
            <w:pPr>
              <w:pStyle w:val="Standard"/>
              <w:spacing w:line="360" w:lineRule="auto"/>
              <w:jc w:val="center"/>
            </w:pPr>
            <w:r>
              <w:rPr>
                <w:b/>
                <w:lang w:eastAsia="pl-PL"/>
              </w:rPr>
              <w:t>2013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1173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1143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432.486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409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49.862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100.352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3FCF" w:rsidRDefault="00E30F2F">
            <w:pPr>
              <w:pStyle w:val="Standard"/>
              <w:spacing w:line="360" w:lineRule="auto"/>
              <w:jc w:val="center"/>
            </w:pPr>
            <w:r>
              <w:rPr>
                <w:b/>
                <w:lang w:eastAsia="pl-PL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1917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1876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593.803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487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229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200.000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</w:t>
            </w:r>
          </w:p>
        </w:tc>
      </w:tr>
      <w:tr w:rsidR="00713FCF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3FCF" w:rsidRDefault="00E30F2F">
            <w:pPr>
              <w:pStyle w:val="Standard"/>
              <w:spacing w:line="360" w:lineRule="auto"/>
              <w:jc w:val="center"/>
            </w:pPr>
            <w:r>
              <w:rPr>
                <w:b/>
                <w:lang w:eastAsia="pl-PL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2067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1620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578.336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496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149.734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13FCF" w:rsidRDefault="00E30F2F">
            <w:pPr>
              <w:pStyle w:val="Standard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124.995</w:t>
            </w:r>
          </w:p>
        </w:tc>
      </w:tr>
    </w:tbl>
    <w:p w:rsidR="00713FCF" w:rsidRDefault="00713FCF">
      <w:pPr>
        <w:pStyle w:val="Standard"/>
        <w:jc w:val="both"/>
        <w:rPr>
          <w:sz w:val="28"/>
          <w:szCs w:val="28"/>
        </w:rPr>
      </w:pPr>
    </w:p>
    <w:p w:rsidR="00713FCF" w:rsidRDefault="00713FCF">
      <w:pPr>
        <w:pStyle w:val="Standard"/>
        <w:jc w:val="both"/>
        <w:rPr>
          <w:sz w:val="28"/>
          <w:szCs w:val="28"/>
        </w:rPr>
      </w:pPr>
    </w:p>
    <w:p w:rsidR="00713FCF" w:rsidRDefault="00E30F2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713FCF" w:rsidRDefault="00E30F2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IV. Organizacje i instytucje działające na rzecz osób niepełnosprawnych.</w:t>
      </w:r>
    </w:p>
    <w:p w:rsidR="00713FCF" w:rsidRDefault="00713FCF">
      <w:pPr>
        <w:pStyle w:val="Standard"/>
        <w:jc w:val="both"/>
        <w:rPr>
          <w:b/>
          <w:color w:val="000000"/>
          <w:sz w:val="28"/>
          <w:szCs w:val="28"/>
        </w:rPr>
      </w:pP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>Na terenie powiatu malborskiego  funkcjonują instytucje i organizacje działające na rzecz osób  niepełnopsrwnych oraz podejmowane są działania mające  na celu wsparcie osób niepełnosprawnych i ich rodzin w codziennym funkcjonowaniu.</w:t>
      </w:r>
    </w:p>
    <w:p w:rsidR="00713FCF" w:rsidRDefault="00713FCF">
      <w:pPr>
        <w:pStyle w:val="Standard"/>
        <w:jc w:val="both"/>
        <w:rPr>
          <w:color w:val="000000"/>
        </w:rPr>
      </w:pP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Dom Pomocy Społeczn</w:t>
      </w:r>
      <w:r>
        <w:rPr>
          <w:b/>
          <w:bCs/>
          <w:color w:val="000000"/>
        </w:rPr>
        <w:t xml:space="preserve">ej </w:t>
      </w:r>
      <w:r>
        <w:rPr>
          <w:color w:val="000000"/>
        </w:rPr>
        <w:t>– ul. Słowackiego 45,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Młodzieżowy Ośrodek Wychowawczy Nr 1 w Malborku</w:t>
      </w:r>
      <w:r>
        <w:rPr>
          <w:color w:val="000000"/>
        </w:rPr>
        <w:t xml:space="preserve"> – ul. Jagiellońska 94,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Poradnia Psychologiczno-Pedagogiczna w Malborku</w:t>
      </w:r>
      <w:r>
        <w:rPr>
          <w:color w:val="000000"/>
        </w:rPr>
        <w:t xml:space="preserve"> – ul. Kotarbińskiego 34,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Powiatowe Centrum Pomocy Rodzinie</w:t>
      </w:r>
      <w:r>
        <w:rPr>
          <w:color w:val="000000"/>
        </w:rPr>
        <w:t xml:space="preserve"> – ul. Plac Słowiański 17,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Powiatowe Centrum Zdrowia Spółka zo.o. w Malborku</w:t>
      </w:r>
      <w:r>
        <w:rPr>
          <w:color w:val="000000"/>
        </w:rPr>
        <w:t xml:space="preserve"> – ul. Armii Krajowej 105/106,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Powiatowy Urząd Pracy w Malborku</w:t>
      </w:r>
      <w:r>
        <w:rPr>
          <w:color w:val="000000"/>
        </w:rPr>
        <w:t xml:space="preserve"> – ul. Armii Krajowej 70,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  <w:color w:val="000000"/>
        </w:rPr>
        <w:t>Powiatowy Zespól do spraw Orzekania o Niepęlno</w:t>
      </w:r>
      <w:r>
        <w:rPr>
          <w:b/>
          <w:bCs/>
          <w:color w:val="000000"/>
        </w:rPr>
        <w:t>sprawności</w:t>
      </w:r>
      <w:r>
        <w:rPr>
          <w:color w:val="000000"/>
        </w:rPr>
        <w:t>– ul. Armii Krajowej 70,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hyperlink r:id="rId13" w:history="1">
        <w:r>
          <w:rPr>
            <w:b/>
            <w:bCs/>
            <w:color w:val="000000"/>
          </w:rPr>
          <w:t>Specjalny Ośrodek Rewalidacyjno-Wychowawczy dla Dzieci i Młodzieży z Autyzme</w:t>
        </w:r>
      </w:hyperlink>
      <w:r>
        <w:rPr>
          <w:b/>
          <w:bCs/>
          <w:color w:val="000000"/>
        </w:rPr>
        <w:t>m</w:t>
      </w:r>
      <w:r>
        <w:rPr>
          <w:color w:val="000000"/>
        </w:rPr>
        <w:t xml:space="preserve"> – ul. Jagiellońska 79/82,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hyperlink r:id="rId14" w:history="1">
        <w:r>
          <w:rPr>
            <w:b/>
            <w:bCs/>
            <w:color w:val="000000"/>
          </w:rPr>
          <w:t>Specjalny Ośrodek Szkolno-Wychowawczy im. Marii Grzegorzewski</w:t>
        </w:r>
      </w:hyperlink>
      <w:r>
        <w:rPr>
          <w:b/>
          <w:bCs/>
          <w:color w:val="000000"/>
        </w:rPr>
        <w:t>ej</w:t>
      </w:r>
      <w:r>
        <w:rPr>
          <w:color w:val="000000"/>
        </w:rPr>
        <w:t xml:space="preserve">                                            - ul. Jagiellońska 79/82,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Ośrodki Pomocy Społecznej</w:t>
      </w:r>
    </w:p>
    <w:p w:rsidR="00713FCF" w:rsidRDefault="00E30F2F">
      <w:pPr>
        <w:pStyle w:val="Standard"/>
        <w:jc w:val="both"/>
      </w:pPr>
      <w:r>
        <w:t>MOPS – ul. Słowackiego 74, 82-200 Malbork</w:t>
      </w:r>
    </w:p>
    <w:p w:rsidR="00713FCF" w:rsidRDefault="00E30F2F">
      <w:pPr>
        <w:pStyle w:val="Standard"/>
        <w:jc w:val="both"/>
      </w:pPr>
      <w:r>
        <w:t>MOPS Nowy Staw – ul. Bema 1, 82-230 Nowy Staw</w:t>
      </w:r>
    </w:p>
    <w:p w:rsidR="00713FCF" w:rsidRDefault="00E30F2F">
      <w:pPr>
        <w:pStyle w:val="Standard"/>
        <w:jc w:val="both"/>
      </w:pPr>
      <w:r>
        <w:t>GOPS Stare Pole – ul. Marynarki Wojennej 6, 82-220 Stare Pole</w:t>
      </w:r>
    </w:p>
    <w:p w:rsidR="00713FCF" w:rsidRDefault="00E30F2F">
      <w:pPr>
        <w:pStyle w:val="Standard"/>
        <w:jc w:val="both"/>
      </w:pPr>
      <w:r>
        <w:t>GOPS Malbork -  ul. Solskiego 1, 82-200 Malbork</w:t>
      </w:r>
    </w:p>
    <w:p w:rsidR="00713FCF" w:rsidRDefault="00E30F2F">
      <w:pPr>
        <w:pStyle w:val="Standard"/>
        <w:jc w:val="both"/>
      </w:pPr>
      <w:r>
        <w:t>GOPS Miłoradz – ul.</w:t>
      </w:r>
    </w:p>
    <w:p w:rsidR="00713FCF" w:rsidRDefault="00E30F2F">
      <w:pPr>
        <w:pStyle w:val="Standard"/>
        <w:jc w:val="both"/>
      </w:pPr>
      <w:r>
        <w:t>GOPS Lichnowy – ul. Tczewska 6, 82-224 Lichnowy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Schronisko "AGAPE"</w:t>
      </w:r>
      <w:r>
        <w:t xml:space="preserve"> – Szawałd </w:t>
      </w:r>
      <w:r>
        <w:t>16,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Malborskie Stowarzyszenie Abstynenckie "Tu i Teraz"</w:t>
      </w:r>
      <w:r>
        <w:t xml:space="preserve"> – ul. Poczty Gdańskiej 3,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Polski Związek Niewidomych</w:t>
      </w:r>
      <w:r>
        <w:t xml:space="preserve"> – ul. Poczty Gdańskiej 4,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Stowarzyszenie Pomocy "MIŚ"</w:t>
      </w:r>
      <w:r>
        <w:t xml:space="preserve"> – ul. Słowackiego 74,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Fundacja "W</w:t>
      </w:r>
      <w:r>
        <w:rPr>
          <w:b/>
          <w:bCs/>
        </w:rPr>
        <w:t>RÓĆ"</w:t>
      </w:r>
      <w:r>
        <w:t xml:space="preserve"> – Lasowice Wielkie 17a,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Warsztat Terapii Zajęciowej przy Stowarzyszeniu na Rzecz Osób Niepełnosprawnych "Słoneczny Promyk"</w:t>
      </w:r>
      <w:r>
        <w:t xml:space="preserve"> – Dębina 46a, 82-230 Nowy Staw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Warsztat Terapii Zajęciowej</w:t>
      </w:r>
      <w:r>
        <w:t xml:space="preserve"> – ul. 500 lecia 23, 82-200 Malbork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Fundacja "Nadzieja"</w:t>
      </w:r>
      <w:r>
        <w:rPr>
          <w:b/>
          <w:bCs/>
        </w:rPr>
        <w:t xml:space="preserve"> im. Stefanii Zaorskiej</w:t>
      </w:r>
      <w:r>
        <w:t xml:space="preserve"> – ul. Westerplatte 2, 82-230 Nowy Staw</w:t>
      </w:r>
    </w:p>
    <w:p w:rsidR="00713FCF" w:rsidRDefault="00E30F2F">
      <w:pPr>
        <w:pStyle w:val="Standard"/>
        <w:numPr>
          <w:ilvl w:val="0"/>
          <w:numId w:val="16"/>
        </w:numPr>
        <w:jc w:val="both"/>
      </w:pPr>
      <w:r>
        <w:rPr>
          <w:b/>
          <w:bCs/>
        </w:rPr>
        <w:t>Centrum Usług Socjalnych i Wsparcia "Agape"</w:t>
      </w:r>
      <w:r>
        <w:t xml:space="preserve"> – ul. Mickiewicza 32, 82-230 Nowy Staw</w:t>
      </w:r>
    </w:p>
    <w:p w:rsidR="00713FCF" w:rsidRDefault="00E30F2F">
      <w:pPr>
        <w:pStyle w:val="Standard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Polski Związek Emerytów , Rencistów i Inwalidów</w:t>
      </w:r>
    </w:p>
    <w:p w:rsidR="00713FCF" w:rsidRDefault="00E30F2F">
      <w:pPr>
        <w:pStyle w:val="Standard"/>
        <w:numPr>
          <w:ilvl w:val="0"/>
          <w:numId w:val="17"/>
        </w:numPr>
        <w:jc w:val="both"/>
      </w:pPr>
      <w:r>
        <w:t xml:space="preserve">Oddział Rejonowy Malbork – Plac Słowiański 17, 82-200 </w:t>
      </w:r>
      <w:r>
        <w:t>Malbork</w:t>
      </w:r>
    </w:p>
    <w:p w:rsidR="00713FCF" w:rsidRDefault="00E30F2F">
      <w:pPr>
        <w:pStyle w:val="Standard"/>
        <w:numPr>
          <w:ilvl w:val="0"/>
          <w:numId w:val="17"/>
        </w:numPr>
        <w:jc w:val="both"/>
      </w:pPr>
      <w:r>
        <w:t>Oddział Rejonowy Nowy staw – ul. Bema 7, 82-230 Nowy Staw</w:t>
      </w: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  <w:rPr>
          <w:b/>
        </w:rPr>
      </w:pPr>
    </w:p>
    <w:p w:rsidR="00713FCF" w:rsidRDefault="00713FCF">
      <w:pPr>
        <w:pStyle w:val="Standard"/>
        <w:jc w:val="both"/>
        <w:rPr>
          <w:b/>
        </w:rPr>
      </w:pPr>
    </w:p>
    <w:p w:rsidR="00713FCF" w:rsidRDefault="00713FCF">
      <w:pPr>
        <w:pStyle w:val="Standard"/>
        <w:jc w:val="both"/>
        <w:rPr>
          <w:b/>
        </w:rPr>
      </w:pPr>
    </w:p>
    <w:p w:rsidR="00713FCF" w:rsidRDefault="00713FCF">
      <w:pPr>
        <w:pStyle w:val="Standard"/>
        <w:jc w:val="both"/>
        <w:rPr>
          <w:b/>
        </w:rPr>
      </w:pPr>
    </w:p>
    <w:p w:rsidR="00713FCF" w:rsidRDefault="00E30F2F">
      <w:pPr>
        <w:pStyle w:val="Standard"/>
        <w:jc w:val="center"/>
        <w:rPr>
          <w:b/>
        </w:rPr>
      </w:pPr>
      <w:r>
        <w:rPr>
          <w:b/>
        </w:rPr>
        <w:t>9</w:t>
      </w:r>
    </w:p>
    <w:p w:rsidR="00713FCF" w:rsidRDefault="00713FCF">
      <w:pPr>
        <w:pStyle w:val="Standard"/>
        <w:jc w:val="both"/>
        <w:rPr>
          <w:b/>
        </w:rPr>
      </w:pPr>
    </w:p>
    <w:p w:rsidR="00713FCF" w:rsidRDefault="00E30F2F">
      <w:pPr>
        <w:pStyle w:val="Standard"/>
        <w:jc w:val="both"/>
      </w:pPr>
      <w:r>
        <w:rPr>
          <w:b/>
        </w:rPr>
        <w:t>Koordynatorem Programu jest Powiatowe Centrum Pomocy Rodzinie w Malborku.</w:t>
      </w:r>
    </w:p>
    <w:p w:rsidR="00713FCF" w:rsidRDefault="00713FCF">
      <w:pPr>
        <w:pStyle w:val="Standard"/>
        <w:jc w:val="both"/>
        <w:rPr>
          <w:b/>
        </w:rPr>
      </w:pPr>
    </w:p>
    <w:p w:rsidR="00713FCF" w:rsidRDefault="00E30F2F">
      <w:pPr>
        <w:pStyle w:val="Standard"/>
        <w:jc w:val="both"/>
        <w:rPr>
          <w:b/>
        </w:rPr>
      </w:pPr>
      <w:r>
        <w:rPr>
          <w:b/>
        </w:rPr>
        <w:t>Realizatorzy programu: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lastRenderedPageBreak/>
        <w:t>Powiat Malborski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Miasto Malbork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Gmina Malbork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Gmina Nowy Staw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 xml:space="preserve">Gmina </w:t>
      </w:r>
      <w:r>
        <w:t>Lichnowy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Gmina Miłoradz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Gmina Stare Pole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Organizacje pozarządowe,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osoby fizyczne,</w:t>
      </w:r>
    </w:p>
    <w:p w:rsidR="00713FCF" w:rsidRDefault="00E30F2F">
      <w:pPr>
        <w:pStyle w:val="Standard"/>
        <w:numPr>
          <w:ilvl w:val="0"/>
          <w:numId w:val="18"/>
        </w:numPr>
        <w:jc w:val="both"/>
      </w:pPr>
      <w:r>
        <w:t>osoby prawne.</w:t>
      </w:r>
    </w:p>
    <w:p w:rsidR="00713FCF" w:rsidRDefault="00713FCF">
      <w:pPr>
        <w:pStyle w:val="Standard"/>
        <w:jc w:val="both"/>
      </w:pPr>
    </w:p>
    <w:p w:rsidR="00713FCF" w:rsidRDefault="00E30F2F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Konsultanci:</w:t>
      </w: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>– osoby sprawne oraz osoby niepełnosprawne i ich rodziny,</w:t>
      </w: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>– przedstawiciele jednostek i instytucji działających na terenie Powiatu Malborskieg</w:t>
      </w:r>
      <w:r>
        <w:rPr>
          <w:color w:val="000000"/>
        </w:rPr>
        <w:t>o,</w:t>
      </w:r>
    </w:p>
    <w:p w:rsidR="00713FCF" w:rsidRDefault="00E30F2F">
      <w:pPr>
        <w:pStyle w:val="Standard"/>
        <w:jc w:val="both"/>
        <w:rPr>
          <w:color w:val="000000"/>
        </w:rPr>
      </w:pPr>
      <w:r>
        <w:rPr>
          <w:color w:val="000000"/>
        </w:rPr>
        <w:t>– Powiatowa Społeczna Rada ds. Osób Niepełnosprawnych.</w:t>
      </w:r>
    </w:p>
    <w:p w:rsidR="00713FCF" w:rsidRDefault="00713FCF">
      <w:pPr>
        <w:pStyle w:val="Standard"/>
        <w:jc w:val="both"/>
        <w:rPr>
          <w:color w:val="000000"/>
          <w:sz w:val="28"/>
          <w:szCs w:val="28"/>
        </w:rPr>
      </w:pPr>
    </w:p>
    <w:p w:rsidR="00713FCF" w:rsidRDefault="00E30F2F">
      <w:pPr>
        <w:pStyle w:val="Standard"/>
        <w:ind w:left="705"/>
        <w:jc w:val="both"/>
      </w:pPr>
      <w:r>
        <w:t xml:space="preserve">Na terenie powiatu Malborskiego liczne organizacje pozarządowe, instytucje podejmują działania na rzecz osób niepełnosprawnych, aby zminimalizować skutki niepełnosprawności. Działania realizowane </w:t>
      </w:r>
      <w:r>
        <w:t>są ze środków własnych, ze środków pozyskanych z różnych źródeł pozabudżetowych i otrzymanych od sponsorów.</w:t>
      </w:r>
    </w:p>
    <w:p w:rsidR="00713FCF" w:rsidRDefault="00E30F2F">
      <w:pPr>
        <w:pStyle w:val="Standard"/>
        <w:ind w:left="705"/>
        <w:jc w:val="both"/>
      </w:pPr>
      <w:r>
        <w:t>Należy w dalszym ciągu podejmować różne działania zmierzające do wyrównania szans osób niepełnosprawnych poprzez:</w:t>
      </w:r>
    </w:p>
    <w:p w:rsidR="00713FCF" w:rsidRDefault="00E30F2F">
      <w:pPr>
        <w:pStyle w:val="Akapitzlist"/>
        <w:numPr>
          <w:ilvl w:val="0"/>
          <w:numId w:val="19"/>
        </w:numPr>
        <w:jc w:val="both"/>
      </w:pPr>
      <w:r>
        <w:t xml:space="preserve">wczesne rozpoznanie oraz </w:t>
      </w:r>
      <w:r>
        <w:t>kompleksową specjalistyczną pomoc w zakresie rehabilitacji, stymulacji , terapii oraz wspierania rozwoju,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zapewnienie edukacji w jak najkorzystniejszych dla niego warunkach (klasy integracyjne, indywidualna nauczanie),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leczenie i rehabilitację, zapewnienie</w:t>
      </w:r>
      <w:r>
        <w:t xml:space="preserve"> dostępu do niezbędnego sprzętu rehabilitacyjnego, pomocniczego, oraz wszelkiej technicznej pomocy,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umożliwienie uczestnictwa w zorganizowanych formach spędzania wolnego czasu,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 xml:space="preserve">umożliwienie udziału osobom, które nie mogą pracować w zajęciach               </w:t>
      </w:r>
      <w:r>
        <w:t xml:space="preserve">                     w warsztatach terapii zajęciowej,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organizowanie odpowiednich szkoleń zawodowych dostosowanych do różnych dysfunkcji, readaptację zawodową,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umożliwienie pracy zawodowej z trenerem pracy lub przez internet,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przebywanie w ośrodku wsparcia</w:t>
      </w:r>
      <w:r>
        <w:t xml:space="preserve"> dziennego jako alternatywa dla domów pomocy społecznej,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dostęp do kultury, rekreacji, turystyki i sportu,</w:t>
      </w:r>
    </w:p>
    <w:p w:rsidR="00713FCF" w:rsidRDefault="00E30F2F">
      <w:pPr>
        <w:pStyle w:val="Akapitzlist"/>
        <w:numPr>
          <w:ilvl w:val="0"/>
          <w:numId w:val="5"/>
        </w:numPr>
        <w:jc w:val="both"/>
      </w:pPr>
      <w:r>
        <w:t>zapewnienie wsparcia i pomocy w codziennym funkcjonowaniu w formie usług opiekuńczych w miejscu zamieszkania.</w:t>
      </w:r>
    </w:p>
    <w:p w:rsidR="00713FCF" w:rsidRDefault="00E30F2F">
      <w:pPr>
        <w:pStyle w:val="Standard"/>
        <w:ind w:left="708"/>
        <w:jc w:val="both"/>
      </w:pPr>
      <w:r>
        <w:t>Podsumowując należy stwierdzić, że dzie</w:t>
      </w:r>
      <w:r>
        <w:t>ci potrzebują odpowiedniego systemu nauczania, młodzież przygotowania do pracy, dorośli zatrudnienia, a wszyscy dobrej wczesnej rehabilitacji i aktywnych form spędzania wolnego czasu.</w:t>
      </w:r>
    </w:p>
    <w:p w:rsidR="00713FCF" w:rsidRDefault="00E30F2F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>Celem programu jest kompleksowe ujęcie całokształtu zagadnień niepełnosp</w:t>
      </w:r>
      <w:r>
        <w:rPr>
          <w:color w:val="000000"/>
        </w:rPr>
        <w:t>rawności oraz stwarzanie odpowiednich warunków umożliwiających osobom niepełnosprawnym pełne uczestnictwo we wszelkich dziedzinach życia.</w:t>
      </w:r>
    </w:p>
    <w:p w:rsidR="00713FCF" w:rsidRDefault="00E30F2F">
      <w:pPr>
        <w:pStyle w:val="Standard"/>
        <w:ind w:left="708"/>
        <w:jc w:val="center"/>
        <w:rPr>
          <w:color w:val="000000"/>
        </w:rPr>
      </w:pPr>
      <w:r>
        <w:rPr>
          <w:color w:val="000000"/>
        </w:rPr>
        <w:t>10</w:t>
      </w:r>
    </w:p>
    <w:p w:rsidR="00713FCF" w:rsidRDefault="00E30F2F">
      <w:pPr>
        <w:pStyle w:val="Standard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IV. Cele programu</w:t>
      </w:r>
    </w:p>
    <w:p w:rsidR="00713FCF" w:rsidRDefault="00713FCF">
      <w:pPr>
        <w:pStyle w:val="Standard"/>
        <w:ind w:left="708"/>
        <w:jc w:val="both"/>
        <w:rPr>
          <w:b/>
          <w:bCs/>
          <w:color w:val="000000"/>
        </w:rPr>
      </w:pPr>
    </w:p>
    <w:p w:rsidR="00713FCF" w:rsidRDefault="00E30F2F">
      <w:pPr>
        <w:pStyle w:val="Standard"/>
        <w:spacing w:line="360" w:lineRule="auto"/>
        <w:ind w:left="708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u w:val="single"/>
        </w:rPr>
        <w:t>1.Inicjowanie,  prowadzenie i wspieranie działań zmierzających do likwidacji barier (m.in. arch</w:t>
      </w:r>
      <w:r>
        <w:rPr>
          <w:b/>
          <w:bCs/>
          <w:i/>
          <w:color w:val="000000"/>
          <w:u w:val="single"/>
        </w:rPr>
        <w:t>itektonicznych, komunikacyjnych i społecznych) utrudniających niepełnosprawnym pełne uczestnictwo w życiu społecznym.</w:t>
      </w:r>
    </w:p>
    <w:p w:rsidR="00713FCF" w:rsidRDefault="00E30F2F">
      <w:pPr>
        <w:pStyle w:val="Standard"/>
        <w:jc w:val="both"/>
        <w:rPr>
          <w:rFonts w:ascii="Times-Bold" w:hAnsi="Times-Bold"/>
          <w:b/>
          <w:sz w:val="23"/>
        </w:rPr>
      </w:pPr>
      <w:r>
        <w:rPr>
          <w:rFonts w:ascii="Times-Bold" w:hAnsi="Times-Bold"/>
          <w:b/>
          <w:sz w:val="23"/>
        </w:rPr>
        <w:t>Zadania:</w:t>
      </w:r>
    </w:p>
    <w:p w:rsidR="00713FCF" w:rsidRDefault="00E30F2F">
      <w:pPr>
        <w:pStyle w:val="Standard"/>
        <w:jc w:val="both"/>
      </w:pPr>
      <w:r>
        <w:t>1. Likwidacja barier architektonicznych w :</w:t>
      </w:r>
    </w:p>
    <w:p w:rsidR="00713FCF" w:rsidRDefault="00E30F2F">
      <w:pPr>
        <w:pStyle w:val="Standard"/>
        <w:jc w:val="both"/>
      </w:pPr>
      <w:r>
        <w:t>- obiektach użyteczności publicznej;</w:t>
      </w:r>
    </w:p>
    <w:p w:rsidR="00713FCF" w:rsidRDefault="00E30F2F">
      <w:pPr>
        <w:pStyle w:val="Standard"/>
        <w:jc w:val="both"/>
      </w:pPr>
      <w:r>
        <w:t xml:space="preserve">- placówkach edukacyjnych ( przedszkola, szkoły </w:t>
      </w:r>
      <w:r>
        <w:t>podstawowe, gimnazja, szkoły</w:t>
      </w:r>
    </w:p>
    <w:p w:rsidR="00713FCF" w:rsidRDefault="00E30F2F">
      <w:pPr>
        <w:pStyle w:val="Standard"/>
        <w:jc w:val="both"/>
      </w:pPr>
      <w:r>
        <w:t>ponadgimnazjalne, przedszkola specjalne, szkoły specjalne, internaty szkolne, biblioteki</w:t>
      </w:r>
    </w:p>
    <w:p w:rsidR="00713FCF" w:rsidRDefault="00E30F2F">
      <w:pPr>
        <w:pStyle w:val="Standard"/>
        <w:jc w:val="both"/>
      </w:pPr>
      <w:r>
        <w:t>szkolne, poradnia psychologiczno-pedagogiczna);</w:t>
      </w:r>
    </w:p>
    <w:p w:rsidR="00713FCF" w:rsidRDefault="00E30F2F">
      <w:pPr>
        <w:pStyle w:val="Standard"/>
        <w:jc w:val="both"/>
      </w:pPr>
      <w:r>
        <w:t>- zakładach opieki zdrowotnej;</w:t>
      </w:r>
    </w:p>
    <w:p w:rsidR="00713FCF" w:rsidRDefault="00E30F2F">
      <w:pPr>
        <w:pStyle w:val="Standard"/>
        <w:jc w:val="both"/>
      </w:pPr>
      <w:r>
        <w:t>- placówkach opiekuńczych.</w:t>
      </w:r>
    </w:p>
    <w:p w:rsidR="00713FCF" w:rsidRDefault="00E30F2F">
      <w:pPr>
        <w:pStyle w:val="Standard"/>
        <w:jc w:val="both"/>
      </w:pPr>
      <w:r>
        <w:t xml:space="preserve">- komunikacji i </w:t>
      </w:r>
      <w:r>
        <w:t>transporcie zbiorowym.</w:t>
      </w:r>
    </w:p>
    <w:p w:rsidR="00713FCF" w:rsidRDefault="00E30F2F">
      <w:pPr>
        <w:pStyle w:val="Standard"/>
        <w:jc w:val="both"/>
      </w:pPr>
      <w:r>
        <w:t>2. Likwidacja barier transportowych.</w:t>
      </w:r>
    </w:p>
    <w:p w:rsidR="00713FCF" w:rsidRDefault="00E30F2F">
      <w:pPr>
        <w:pStyle w:val="Standard"/>
        <w:jc w:val="both"/>
      </w:pPr>
      <w:r>
        <w:t>3. Dofinansowanie likwidacji barier architektonicznych zgodnie z indywidualnymi</w:t>
      </w:r>
    </w:p>
    <w:p w:rsidR="00713FCF" w:rsidRDefault="00E30F2F">
      <w:pPr>
        <w:pStyle w:val="Standard"/>
        <w:jc w:val="both"/>
      </w:pPr>
      <w:r>
        <w:t>potrzebami osób niepełnosprawnych.</w:t>
      </w:r>
    </w:p>
    <w:p w:rsidR="00713FCF" w:rsidRDefault="00E30F2F">
      <w:pPr>
        <w:pStyle w:val="Standard"/>
        <w:jc w:val="both"/>
      </w:pPr>
      <w:r>
        <w:t>4. Dofinansowanie likwidacji barier w komunikowaniu się, technicznych w związku</w:t>
      </w:r>
    </w:p>
    <w:p w:rsidR="00713FCF" w:rsidRDefault="00E30F2F">
      <w:pPr>
        <w:pStyle w:val="Nagwek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/>
          <w:b w:val="0"/>
          <w:bCs w:val="0"/>
          <w:sz w:val="24"/>
          <w:szCs w:val="24"/>
        </w:rPr>
        <w:t>ndywidualnymi potrzebami osób niepełnosprawnych.</w:t>
      </w:r>
    </w:p>
    <w:p w:rsidR="00713FCF" w:rsidRDefault="00713FCF">
      <w:pPr>
        <w:pStyle w:val="Textbody"/>
        <w:ind w:left="720" w:hanging="360"/>
        <w:jc w:val="both"/>
      </w:pPr>
    </w:p>
    <w:p w:rsidR="00713FCF" w:rsidRDefault="00E30F2F">
      <w:pPr>
        <w:pStyle w:val="Textbody"/>
        <w:jc w:val="both"/>
      </w:pPr>
      <w:r>
        <w:rPr>
          <w:rStyle w:val="StrongEmphasis"/>
        </w:rPr>
        <w:t>Mierniki osiągnięcia celu</w:t>
      </w:r>
      <w:r>
        <w:t>:</w:t>
      </w:r>
    </w:p>
    <w:p w:rsidR="00713FCF" w:rsidRDefault="00E30F2F">
      <w:pPr>
        <w:pStyle w:val="Textbody"/>
        <w:ind w:left="720" w:hanging="360"/>
        <w:jc w:val="both"/>
      </w:pPr>
      <w:r>
        <w:t>–</w:t>
      </w:r>
      <w:r>
        <w:t xml:space="preserve"> </w:t>
      </w:r>
      <w:r>
        <w:t>liczba środków transportu dostosowanych do potrzeb osób niepełnosprawnych,</w:t>
      </w:r>
    </w:p>
    <w:p w:rsidR="00713FCF" w:rsidRDefault="00E30F2F">
      <w:pPr>
        <w:pStyle w:val="Textbody"/>
        <w:ind w:left="720" w:hanging="360"/>
        <w:jc w:val="both"/>
      </w:pPr>
      <w:r>
        <w:t>–</w:t>
      </w:r>
      <w:r>
        <w:t xml:space="preserve"> </w:t>
      </w:r>
      <w:r>
        <w:t>liczba miejsc parkingowych wyznaczonych dla osób niepełnosprawnych,</w:t>
      </w:r>
    </w:p>
    <w:p w:rsidR="00713FCF" w:rsidRDefault="00E30F2F">
      <w:pPr>
        <w:pStyle w:val="Textbody"/>
        <w:ind w:left="720" w:hanging="360"/>
        <w:jc w:val="both"/>
      </w:pPr>
      <w:r>
        <w:t>–</w:t>
      </w:r>
      <w:r>
        <w:t xml:space="preserve"> </w:t>
      </w:r>
      <w:r>
        <w:t>liczba budynków użytecznośc</w:t>
      </w:r>
      <w:r>
        <w:t>i publicznej bez barier, kwota wydatkowana na ich likwidację,</w:t>
      </w:r>
    </w:p>
    <w:p w:rsidR="00713FCF" w:rsidRDefault="00E30F2F">
      <w:pPr>
        <w:pStyle w:val="Textbody"/>
        <w:spacing w:after="0" w:line="360" w:lineRule="auto"/>
        <w:ind w:left="720" w:hanging="360"/>
        <w:jc w:val="both"/>
        <w:rPr>
          <w:b/>
          <w:bCs/>
          <w:color w:val="000000"/>
        </w:rPr>
      </w:pPr>
      <w:r>
        <w:rPr>
          <w:b/>
          <w:bCs/>
          <w:i/>
          <w:color w:val="000000"/>
        </w:rPr>
        <w:t>–</w:t>
      </w:r>
      <w:r>
        <w:rPr>
          <w:b/>
          <w:bCs/>
          <w:i/>
          <w:color w:val="000000"/>
        </w:rPr>
        <w:t xml:space="preserve"> </w:t>
      </w:r>
      <w:r>
        <w:rPr>
          <w:color w:val="000000"/>
        </w:rPr>
        <w:t>liczba osób niepełnosprawnych, które otrzymały dofinansowanie likwidacji barier architektonicznych, kwota wypłaconych dofinansowań.</w:t>
      </w:r>
    </w:p>
    <w:p w:rsidR="00713FCF" w:rsidRDefault="00713FCF">
      <w:pPr>
        <w:pStyle w:val="Textbody"/>
        <w:spacing w:after="0" w:line="360" w:lineRule="auto"/>
        <w:ind w:left="720" w:hanging="360"/>
        <w:jc w:val="both"/>
        <w:rPr>
          <w:color w:val="000000"/>
        </w:rPr>
      </w:pPr>
    </w:p>
    <w:p w:rsidR="00713FCF" w:rsidRDefault="00E30F2F">
      <w:pPr>
        <w:pStyle w:val="Standard"/>
        <w:spacing w:line="276" w:lineRule="auto"/>
        <w:ind w:left="720" w:hanging="36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t xml:space="preserve">2. Integracja społeczna, zapobieganie </w:t>
      </w:r>
      <w:r>
        <w:rPr>
          <w:b/>
          <w:i/>
          <w:color w:val="000000"/>
          <w:u w:val="single"/>
        </w:rPr>
        <w:t>społecznemu wykluczeniu – wspieranie aktywnego udziału osób niepełnosprawnych w życiu społecznym (kultura, sport, turystyka)</w:t>
      </w:r>
    </w:p>
    <w:p w:rsidR="00713FCF" w:rsidRDefault="00713FCF">
      <w:pPr>
        <w:pStyle w:val="Standard"/>
        <w:spacing w:line="276" w:lineRule="auto"/>
        <w:ind w:left="720" w:hanging="360"/>
        <w:jc w:val="both"/>
        <w:rPr>
          <w:b/>
          <w:i/>
          <w:color w:val="000000"/>
        </w:rPr>
      </w:pPr>
    </w:p>
    <w:p w:rsidR="00713FCF" w:rsidRDefault="00E30F2F">
      <w:pPr>
        <w:pStyle w:val="Standard"/>
        <w:spacing w:line="276" w:lineRule="auto"/>
        <w:ind w:left="720" w:hanging="360"/>
        <w:jc w:val="both"/>
        <w:rPr>
          <w:b/>
          <w:bCs/>
          <w:color w:val="000000"/>
          <w:sz w:val="23"/>
        </w:rPr>
      </w:pPr>
      <w:r>
        <w:rPr>
          <w:b/>
          <w:bCs/>
          <w:color w:val="000000"/>
          <w:sz w:val="23"/>
        </w:rPr>
        <w:t>Zadania: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Wspieranie funkcjonowania warsztatów terapii zajęciowej.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>Wspieranie funkcjonowania ośrodków wsparcia oraz jednostek orga</w:t>
      </w:r>
      <w:r>
        <w:rPr>
          <w:sz w:val="23"/>
        </w:rPr>
        <w:t>nizacyjnych pomocyspołecznej, których statutowym zadaniem jest rehabilitacja społeczna osób</w:t>
      </w:r>
    </w:p>
    <w:p w:rsidR="00713FCF" w:rsidRDefault="00E30F2F">
      <w:pPr>
        <w:pStyle w:val="Standard"/>
        <w:jc w:val="both"/>
        <w:rPr>
          <w:sz w:val="23"/>
        </w:rPr>
      </w:pPr>
      <w:r>
        <w:rPr>
          <w:sz w:val="23"/>
        </w:rPr>
        <w:t>niepełnosprawnych.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>Dofinansowanie turnusów rehabilitacyjnych.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Dofinansowanie sportu, kultury, rekreacji i turystyki osób niepełnosprawnych.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</w:t>
      </w:r>
      <w:r>
        <w:rPr>
          <w:sz w:val="23"/>
        </w:rPr>
        <w:t>Organizowanie cyklicznych wystaw, festiwali promujących twórczość osób</w:t>
      </w:r>
    </w:p>
    <w:p w:rsidR="00713FCF" w:rsidRDefault="00E30F2F">
      <w:pPr>
        <w:pStyle w:val="Standard"/>
        <w:jc w:val="both"/>
        <w:rPr>
          <w:sz w:val="23"/>
        </w:rPr>
      </w:pPr>
      <w:r>
        <w:rPr>
          <w:sz w:val="23"/>
        </w:rPr>
        <w:t xml:space="preserve">           niepełnosprawnych.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Prowadzenie wsparcia specjalistycznego, w tym: psychologicznego, prawnego,</w:t>
      </w:r>
    </w:p>
    <w:p w:rsidR="00713FCF" w:rsidRDefault="00E30F2F">
      <w:pPr>
        <w:pStyle w:val="Standard"/>
        <w:jc w:val="both"/>
        <w:rPr>
          <w:sz w:val="23"/>
        </w:rPr>
      </w:pPr>
      <w:r>
        <w:rPr>
          <w:sz w:val="23"/>
        </w:rPr>
        <w:t>socjalnego.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Utworzenie centrum informacji o prawach osób niepełnosprawnych.</w:t>
      </w:r>
    </w:p>
    <w:p w:rsidR="00713FCF" w:rsidRDefault="00713FCF">
      <w:pPr>
        <w:pStyle w:val="Standard"/>
        <w:jc w:val="both"/>
        <w:rPr>
          <w:sz w:val="23"/>
        </w:rPr>
      </w:pPr>
    </w:p>
    <w:p w:rsidR="00713FCF" w:rsidRDefault="00E30F2F">
      <w:pPr>
        <w:pStyle w:val="Standard"/>
        <w:jc w:val="center"/>
        <w:rPr>
          <w:sz w:val="23"/>
        </w:rPr>
      </w:pPr>
      <w:r>
        <w:rPr>
          <w:sz w:val="23"/>
        </w:rPr>
        <w:t>1</w:t>
      </w:r>
      <w:r>
        <w:rPr>
          <w:sz w:val="23"/>
        </w:rPr>
        <w:t>1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Opracowanie i wdrażanie programów na rzecz aktywizacji społecznej i integracji osób</w:t>
      </w:r>
    </w:p>
    <w:p w:rsidR="00713FCF" w:rsidRDefault="00E30F2F">
      <w:pPr>
        <w:pStyle w:val="Standard"/>
        <w:jc w:val="both"/>
        <w:rPr>
          <w:sz w:val="23"/>
        </w:rPr>
      </w:pPr>
      <w:r>
        <w:rPr>
          <w:sz w:val="23"/>
        </w:rPr>
        <w:t>niepełnosprawnych.</w:t>
      </w:r>
    </w:p>
    <w:p w:rsidR="00713FCF" w:rsidRDefault="00E30F2F">
      <w:pPr>
        <w:pStyle w:val="Standard"/>
        <w:numPr>
          <w:ilvl w:val="0"/>
          <w:numId w:val="20"/>
        </w:numPr>
        <w:ind w:left="680" w:hanging="340"/>
        <w:jc w:val="both"/>
        <w:rPr>
          <w:sz w:val="23"/>
        </w:rPr>
      </w:pPr>
      <w:r>
        <w:rPr>
          <w:sz w:val="23"/>
        </w:rPr>
        <w:lastRenderedPageBreak/>
        <w:t xml:space="preserve"> Rozwój usług wolontarystycznych na rzecz osób niepełnosprawnych.</w:t>
      </w:r>
    </w:p>
    <w:p w:rsidR="00713FCF" w:rsidRDefault="00E30F2F">
      <w:pPr>
        <w:pStyle w:val="Standard"/>
        <w:numPr>
          <w:ilvl w:val="0"/>
          <w:numId w:val="20"/>
        </w:numPr>
        <w:jc w:val="both"/>
        <w:rPr>
          <w:sz w:val="23"/>
        </w:rPr>
      </w:pPr>
      <w:r>
        <w:rPr>
          <w:sz w:val="23"/>
        </w:rPr>
        <w:t xml:space="preserve"> Propagowanie zatrudnienia asystentów osób niepełnosprawnych.</w:t>
      </w:r>
    </w:p>
    <w:p w:rsidR="00713FCF" w:rsidRDefault="00E30F2F">
      <w:pPr>
        <w:pStyle w:val="Standard"/>
        <w:ind w:left="340"/>
        <w:jc w:val="both"/>
        <w:rPr>
          <w:sz w:val="23"/>
        </w:rPr>
      </w:pPr>
      <w:r>
        <w:rPr>
          <w:sz w:val="23"/>
        </w:rPr>
        <w:t>11. Współpraca samorzą</w:t>
      </w:r>
      <w:r>
        <w:rPr>
          <w:sz w:val="23"/>
        </w:rPr>
        <w:t>du powiatowego z organizacjami pozarządowymi i fundacjami</w:t>
      </w:r>
    </w:p>
    <w:p w:rsidR="00713FCF" w:rsidRDefault="00E30F2F">
      <w:pPr>
        <w:pStyle w:val="Standard"/>
        <w:ind w:left="737"/>
        <w:jc w:val="both"/>
        <w:rPr>
          <w:sz w:val="23"/>
        </w:rPr>
      </w:pPr>
      <w:r>
        <w:rPr>
          <w:sz w:val="23"/>
        </w:rPr>
        <w:t>działającymi na rzecz osób niepełnosprawnych w zakresie rehabilitacji społecznej.</w:t>
      </w:r>
    </w:p>
    <w:p w:rsidR="00713FCF" w:rsidRDefault="00E30F2F">
      <w:pPr>
        <w:pStyle w:val="Standard"/>
        <w:ind w:left="340"/>
        <w:jc w:val="both"/>
        <w:rPr>
          <w:sz w:val="23"/>
        </w:rPr>
      </w:pPr>
      <w:r>
        <w:rPr>
          <w:sz w:val="23"/>
        </w:rPr>
        <w:t>12. Zlecanie zadań dotyczących osób niepełnosprawnych organizacjom pozarządowym</w:t>
      </w:r>
    </w:p>
    <w:p w:rsidR="00713FCF" w:rsidRDefault="00E30F2F">
      <w:pPr>
        <w:pStyle w:val="Standard"/>
        <w:ind w:left="680"/>
        <w:jc w:val="both"/>
        <w:rPr>
          <w:sz w:val="23"/>
        </w:rPr>
      </w:pPr>
      <w:r>
        <w:rPr>
          <w:sz w:val="23"/>
        </w:rPr>
        <w:t>i fundacjom.</w:t>
      </w:r>
    </w:p>
    <w:p w:rsidR="00713FCF" w:rsidRDefault="00E30F2F">
      <w:pPr>
        <w:pStyle w:val="Standard"/>
        <w:spacing w:line="276" w:lineRule="auto"/>
        <w:ind w:left="340"/>
        <w:jc w:val="both"/>
        <w:rPr>
          <w:color w:val="000000"/>
          <w:sz w:val="23"/>
          <w:szCs w:val="28"/>
        </w:rPr>
      </w:pPr>
      <w:r>
        <w:rPr>
          <w:color w:val="000000"/>
          <w:sz w:val="23"/>
          <w:szCs w:val="28"/>
        </w:rPr>
        <w:t>13. Realizacja programó</w:t>
      </w:r>
      <w:r>
        <w:rPr>
          <w:color w:val="000000"/>
          <w:sz w:val="23"/>
          <w:szCs w:val="28"/>
        </w:rPr>
        <w:t>w ze środków PFRON przez samorząd powiatowy</w:t>
      </w:r>
    </w:p>
    <w:p w:rsidR="00713FCF" w:rsidRDefault="00713FCF">
      <w:pPr>
        <w:pStyle w:val="Standard"/>
        <w:spacing w:line="276" w:lineRule="auto"/>
        <w:jc w:val="both"/>
        <w:rPr>
          <w:color w:val="000000"/>
          <w:sz w:val="23"/>
          <w:szCs w:val="28"/>
        </w:rPr>
      </w:pPr>
    </w:p>
    <w:p w:rsidR="00713FCF" w:rsidRDefault="00E30F2F">
      <w:pPr>
        <w:pStyle w:val="Standard"/>
        <w:spacing w:line="276" w:lineRule="auto"/>
        <w:ind w:left="709"/>
        <w:jc w:val="both"/>
      </w:pPr>
      <w:r>
        <w:rPr>
          <w:b/>
        </w:rPr>
        <w:t>Mierniki</w:t>
      </w:r>
      <w:r>
        <w:rPr>
          <w:b/>
        </w:rPr>
        <w:t xml:space="preserve"> osiągnięcia celu:</w:t>
      </w:r>
    </w:p>
    <w:p w:rsidR="00713FCF" w:rsidRDefault="00E30F2F">
      <w:pPr>
        <w:pStyle w:val="Akapitzlist"/>
        <w:numPr>
          <w:ilvl w:val="0"/>
          <w:numId w:val="21"/>
        </w:numPr>
        <w:spacing w:line="276" w:lineRule="auto"/>
        <w:ind w:left="709"/>
        <w:jc w:val="both"/>
      </w:pPr>
      <w:r>
        <w:t>Liczba osób uczestniczących w programach i projektach.</w:t>
      </w:r>
    </w:p>
    <w:p w:rsidR="00713FCF" w:rsidRDefault="00E30F2F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Liczba wystaw, koncertów dotyczących twórczości artystycznej osób niepełnosprawnych.</w:t>
      </w:r>
    </w:p>
    <w:p w:rsidR="00713FCF" w:rsidRDefault="00E30F2F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Liczba imprez integracyjnych.</w:t>
      </w:r>
    </w:p>
    <w:p w:rsidR="00713FCF" w:rsidRDefault="00E30F2F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Liczba osób skierowanych na turnusy rehabilitacyjne.</w:t>
      </w:r>
    </w:p>
    <w:p w:rsidR="00713FCF" w:rsidRDefault="00E30F2F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Liczba osób ko</w:t>
      </w:r>
      <w:r>
        <w:t>rzystających z dodatkowych form integracji społecznej.</w:t>
      </w:r>
    </w:p>
    <w:p w:rsidR="00713FCF" w:rsidRDefault="00E30F2F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Liczba informacji o działaniach osób niepełnosprawnych w różnych dziedzinach życia, promujących pozytywny wizerunek osób niepełnosprawnych.</w:t>
      </w:r>
    </w:p>
    <w:p w:rsidR="00713FCF" w:rsidRDefault="00713FCF">
      <w:pPr>
        <w:pStyle w:val="Standard"/>
        <w:spacing w:line="276" w:lineRule="auto"/>
        <w:jc w:val="both"/>
        <w:rPr>
          <w:b/>
          <w:color w:val="000000"/>
          <w:sz w:val="23"/>
        </w:rPr>
      </w:pPr>
    </w:p>
    <w:p w:rsidR="00713FCF" w:rsidRDefault="00E30F2F">
      <w:pPr>
        <w:pStyle w:val="Standard"/>
        <w:spacing w:line="276" w:lineRule="auto"/>
        <w:jc w:val="both"/>
        <w:rPr>
          <w:u w:val="single"/>
        </w:rPr>
      </w:pPr>
      <w:r>
        <w:rPr>
          <w:b/>
          <w:i/>
          <w:u w:val="single"/>
        </w:rPr>
        <w:t>3.  Integracja i aktywizacja zawodowa osób niepełnosprawnych</w:t>
      </w:r>
    </w:p>
    <w:p w:rsidR="00713FCF" w:rsidRDefault="00713FCF">
      <w:pPr>
        <w:pStyle w:val="Standard"/>
        <w:spacing w:line="276" w:lineRule="auto"/>
        <w:jc w:val="both"/>
        <w:rPr>
          <w:b/>
          <w:i/>
          <w:u w:val="single"/>
        </w:rPr>
      </w:pPr>
    </w:p>
    <w:p w:rsidR="00713FCF" w:rsidRDefault="00E30F2F">
      <w:pPr>
        <w:pStyle w:val="Standard"/>
        <w:spacing w:line="276" w:lineRule="auto"/>
        <w:jc w:val="both"/>
        <w:rPr>
          <w:b/>
          <w:i/>
        </w:rPr>
      </w:pPr>
      <w:r>
        <w:rPr>
          <w:b/>
          <w:i/>
        </w:rPr>
        <w:t>Zadania:</w:t>
      </w:r>
    </w:p>
    <w:p w:rsidR="00713FCF" w:rsidRDefault="00E30F2F">
      <w:pPr>
        <w:pStyle w:val="Akapitzlist"/>
        <w:numPr>
          <w:ilvl w:val="0"/>
          <w:numId w:val="22"/>
        </w:numPr>
        <w:spacing w:line="276" w:lineRule="auto"/>
        <w:ind w:left="709"/>
        <w:jc w:val="both"/>
      </w:pPr>
      <w:r>
        <w:t>Propagowanie oraz tworzenie programów aktywnego pośrednictwa pracy i doradztwa zawodowego dla osób niepełnosprawnych.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Propagowanie korzystnych warunków i zasad korzystania ze środków Państwowego Funduszu Rehabilitacji Osób Niepełnosprawnych przy</w:t>
      </w:r>
      <w:r>
        <w:t xml:space="preserve"> tworzeniu stanowisk pracy dla osób niepełnosprawnych.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Informowanie osób niepełnosprawnych o możliwościach uzyskania środków finansowych na rozpoczęcie działalności gospodarczej, rolniczej albo wniesienie wkładu do spółdzielni socjalnej dofinansowywanej ze</w:t>
      </w:r>
      <w:r>
        <w:t xml:space="preserve"> środków PFRON lub innych źródeł.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Podejmowanie działań na rzecz poszerzenia oferty szkoleniowej dla osób niepełnosprawnych.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Podejmowanie działań mających na celu zwiększenie zatrudnienia osób niepełnosprawnych poprzez tworzenie, przystosowanie stanowisk p</w:t>
      </w:r>
      <w:r>
        <w:t>racy, adaptacje pomieszczeń i urządzeń do potrzeb osób niepełnosprawnych, zatrudnienie pracownika pomagającego pracownikowi niepełnosprawnemu oraz stosowanie instrumentów i usług rynku pracy.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Tworzenie nowych miejsc pracy dla osób niepełnosprawnych 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Upows</w:t>
      </w:r>
      <w:r>
        <w:t>zechnianie informacji ułatwiających pracodawcom tworzenie i wyposażenie nowych miejsc pracy dla osób niepełnosprawnych (np. informator dla pracodawców).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Upowszechnianie informacji o możliwości aktywizacji zawodowej osób niepełnosprawnych ze środków min. PF</w:t>
      </w:r>
      <w:r>
        <w:t>RON, UE.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Wprowadzenie trenera pracy i asystenta osoby niepełnosprawnej 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lastRenderedPageBreak/>
        <w:t>Rozwój wszelkiego rodzaju doradztwa w Powiatowym Urzędzie Pracy - zawodowego, psychologicznego, doboru kierunku szkolenia, planowania ścieżki kariery zawodowej.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 xml:space="preserve">Inicjowanie i </w:t>
      </w:r>
      <w:r>
        <w:t>wspieranie działań na rzecz tworzenia warsztatów terapii zajęciowej, zakładu aktywności zawodowej, spółdzielni socjalnych.</w:t>
      </w:r>
    </w:p>
    <w:p w:rsidR="00713FCF" w:rsidRDefault="00E30F2F">
      <w:pPr>
        <w:pStyle w:val="Akapitzlist"/>
        <w:spacing w:line="276" w:lineRule="auto"/>
        <w:ind w:left="709" w:hanging="360"/>
        <w:jc w:val="center"/>
      </w:pPr>
      <w:r>
        <w:t>12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Organizowanie doradztwa zawodowego dla osób niepełnosprawnych.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Utworzenie punktów informacyjnych w gminach dla osób niepełnosprawn</w:t>
      </w:r>
      <w:r>
        <w:t>ych.</w:t>
      </w:r>
    </w:p>
    <w:p w:rsidR="00713FCF" w:rsidRDefault="00E30F2F">
      <w:pPr>
        <w:pStyle w:val="Akapitzlist"/>
        <w:numPr>
          <w:ilvl w:val="0"/>
          <w:numId w:val="7"/>
        </w:numPr>
        <w:spacing w:line="276" w:lineRule="auto"/>
        <w:ind w:left="709"/>
        <w:jc w:val="both"/>
      </w:pPr>
      <w:r>
        <w:t>Podejmowanie działań w uzyskaniu mieszkań chronionych i socjalnych dla osób niepełnosprawnych.</w:t>
      </w:r>
    </w:p>
    <w:p w:rsidR="00713FCF" w:rsidRDefault="00E30F2F">
      <w:pPr>
        <w:pStyle w:val="Standard"/>
        <w:spacing w:line="276" w:lineRule="auto"/>
        <w:ind w:left="709"/>
        <w:jc w:val="both"/>
        <w:rPr>
          <w:b/>
        </w:rPr>
      </w:pPr>
      <w:r>
        <w:rPr>
          <w:b/>
        </w:rPr>
        <w:t>Wskaźniki osiągnięcia celu:</w:t>
      </w:r>
    </w:p>
    <w:p w:rsidR="00713FCF" w:rsidRDefault="00E30F2F">
      <w:pPr>
        <w:pStyle w:val="Akapitzlist"/>
        <w:numPr>
          <w:ilvl w:val="0"/>
          <w:numId w:val="23"/>
        </w:numPr>
        <w:spacing w:line="276" w:lineRule="auto"/>
        <w:ind w:left="709"/>
        <w:jc w:val="both"/>
      </w:pPr>
      <w:r>
        <w:t>Liczba osób niepełnosprawnych zatrudnionych na otwartym rynku pracy.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 xml:space="preserve">Liczba osób niepełnosprawnych podejmujących </w:t>
      </w:r>
      <w:r>
        <w:t>działalność gospodarczą.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Liczba utworzonych stanowisk pracy dla osób niepełnosprawnych.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Liczba osób niepełnosprawnych podwyższających kwalifikacje, szkolących się lub przekwalifikujących się.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Liczba  spółdzielni socjalnych i innych form zatrudnienia osób n</w:t>
      </w:r>
      <w:r>
        <w:t>iepełnosprawnych.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Liczba zatrudnionych w spółdzielniach socjalnych i innych formach zatrudnienia.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Liczba warsztatów terapii zajęciowej.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Liczba uczestników warsztatów terapii zajęciowej.</w:t>
      </w:r>
    </w:p>
    <w:p w:rsidR="00713FCF" w:rsidRDefault="00E30F2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Liczba mieszkań chronionych i socjalnych, liczba miejsc w hostelu.</w:t>
      </w:r>
    </w:p>
    <w:p w:rsidR="00713FCF" w:rsidRDefault="00E30F2F">
      <w:pPr>
        <w:pStyle w:val="Standard"/>
        <w:spacing w:line="276" w:lineRule="auto"/>
        <w:ind w:left="709" w:hanging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4. </w:t>
      </w:r>
      <w:r>
        <w:rPr>
          <w:b/>
          <w:bCs/>
          <w:i/>
          <w:iCs/>
          <w:color w:val="000000"/>
          <w:u w:val="single"/>
        </w:rPr>
        <w:t>U</w:t>
      </w:r>
      <w:r>
        <w:rPr>
          <w:b/>
          <w:bCs/>
          <w:i/>
          <w:iCs/>
          <w:u w:val="single"/>
        </w:rPr>
        <w:t>łatwianie dostępu osobom niepełnosprawnym do rehabilitacji medycznej</w:t>
      </w:r>
    </w:p>
    <w:p w:rsidR="00713FCF" w:rsidRDefault="00E30F2F">
      <w:pPr>
        <w:pStyle w:val="Standard"/>
        <w:spacing w:line="276" w:lineRule="auto"/>
        <w:ind w:left="709" w:hanging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 pomocy terapeutycznej.</w:t>
      </w:r>
    </w:p>
    <w:p w:rsidR="00713FCF" w:rsidRDefault="00E30F2F">
      <w:pPr>
        <w:pStyle w:val="Standard"/>
        <w:spacing w:line="276" w:lineRule="auto"/>
        <w:jc w:val="both"/>
        <w:rPr>
          <w:b/>
        </w:rPr>
      </w:pPr>
      <w:r>
        <w:rPr>
          <w:b/>
        </w:rPr>
        <w:t>Zadania:</w:t>
      </w:r>
    </w:p>
    <w:p w:rsidR="00713FCF" w:rsidRDefault="00E30F2F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>
        <w:t>Uświadamianie potrzeb wdrażania wczesnej rehabilitacji.</w:t>
      </w:r>
    </w:p>
    <w:p w:rsidR="00713FCF" w:rsidRDefault="00E30F2F">
      <w:pPr>
        <w:pStyle w:val="Akapitzlist"/>
        <w:numPr>
          <w:ilvl w:val="0"/>
          <w:numId w:val="9"/>
        </w:numPr>
        <w:spacing w:line="276" w:lineRule="auto"/>
        <w:ind w:left="709"/>
        <w:jc w:val="both"/>
      </w:pPr>
      <w:r>
        <w:t xml:space="preserve">Stwarzanie możliwości kontynuowania rehabilitacji w domu oraz możliwość korzystania    </w:t>
      </w:r>
      <w:r>
        <w:t xml:space="preserve">                      z usług rehabilitacyjnych w miejscu zamieszkania.</w:t>
      </w:r>
    </w:p>
    <w:p w:rsidR="00713FCF" w:rsidRDefault="00E30F2F">
      <w:pPr>
        <w:pStyle w:val="Akapitzlist"/>
        <w:numPr>
          <w:ilvl w:val="0"/>
          <w:numId w:val="9"/>
        </w:numPr>
        <w:spacing w:line="276" w:lineRule="auto"/>
        <w:ind w:left="709"/>
        <w:jc w:val="both"/>
      </w:pPr>
      <w:r>
        <w:t>Tworzenie grup psychoterapeutycznych i samopomocowych dla osób niepełnosprawnych                    i ich rodzin.</w:t>
      </w:r>
    </w:p>
    <w:p w:rsidR="00713FCF" w:rsidRDefault="00E30F2F">
      <w:pPr>
        <w:pStyle w:val="Akapitzlist"/>
        <w:numPr>
          <w:ilvl w:val="0"/>
          <w:numId w:val="9"/>
        </w:numPr>
        <w:spacing w:line="276" w:lineRule="auto"/>
        <w:ind w:left="709"/>
        <w:jc w:val="both"/>
      </w:pPr>
      <w:r>
        <w:t>Stworzenie warunków do zaspokajania podstawowych potrzeb osób niepełno</w:t>
      </w:r>
      <w:r>
        <w:t>sprawnych                     w zakresie dostępności do niezbędnych pomocy technicznych, sprzętu rehabilitacyjnego, ortopedycznego.</w:t>
      </w:r>
    </w:p>
    <w:p w:rsidR="00713FCF" w:rsidRDefault="00E30F2F">
      <w:pPr>
        <w:pStyle w:val="Akapitzlist"/>
        <w:numPr>
          <w:ilvl w:val="0"/>
          <w:numId w:val="9"/>
        </w:numPr>
        <w:spacing w:line="276" w:lineRule="auto"/>
        <w:ind w:left="709"/>
        <w:jc w:val="both"/>
      </w:pPr>
      <w:r>
        <w:t>Rozwój poradnictwa specjalistycznego: medycznego, socjalnego, psychologicznego, pedagogicznego, prawnego</w:t>
      </w:r>
    </w:p>
    <w:p w:rsidR="00713FCF" w:rsidRDefault="00E30F2F">
      <w:pPr>
        <w:pStyle w:val="Akapitzlist"/>
        <w:numPr>
          <w:ilvl w:val="0"/>
          <w:numId w:val="9"/>
        </w:numPr>
        <w:spacing w:line="276" w:lineRule="auto"/>
        <w:ind w:left="709"/>
        <w:jc w:val="both"/>
      </w:pPr>
      <w:r>
        <w:t>Rehabilitacja zawod</w:t>
      </w:r>
      <w:r>
        <w:t>owa w zakresie inicjowania i organizowania stanowisk pracy uwzględniających rodzaj niepełnosprawności.</w:t>
      </w:r>
    </w:p>
    <w:p w:rsidR="00713FCF" w:rsidRDefault="00E30F2F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lastRenderedPageBreak/>
        <w:t>Stworzenie możliwości korzystania z usług stomatologicznych dla osób niepełnosprawnych leżących lub mających trudności z poruszaniem się w miejscu zamies</w:t>
      </w:r>
      <w:r>
        <w:rPr>
          <w:color w:val="000000"/>
        </w:rPr>
        <w:t>zkania</w:t>
      </w:r>
    </w:p>
    <w:p w:rsidR="00713FCF" w:rsidRDefault="00E30F2F">
      <w:pPr>
        <w:pStyle w:val="Standard"/>
        <w:spacing w:line="276" w:lineRule="auto"/>
        <w:jc w:val="both"/>
      </w:pPr>
      <w:r>
        <w:rPr>
          <w:b/>
        </w:rPr>
        <w:t>Mierniki osiągnięcia celu:</w:t>
      </w:r>
    </w:p>
    <w:p w:rsidR="00713FCF" w:rsidRDefault="00E30F2F">
      <w:pPr>
        <w:pStyle w:val="Akapitzlist"/>
        <w:numPr>
          <w:ilvl w:val="0"/>
          <w:numId w:val="25"/>
        </w:numPr>
        <w:spacing w:line="276" w:lineRule="auto"/>
        <w:ind w:left="709"/>
        <w:jc w:val="both"/>
      </w:pPr>
      <w:r>
        <w:t>Liczba nowych placówek rehabilitacyjnych.</w:t>
      </w:r>
    </w:p>
    <w:p w:rsidR="00713FCF" w:rsidRDefault="00E30F2F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t>Liczba doposażonych placówek rehabilitacyjnych.</w:t>
      </w:r>
    </w:p>
    <w:p w:rsidR="00713FCF" w:rsidRDefault="00E30F2F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t>Liczba osób niepełnosprawnych, którym dofinansowano zakup przedmiotów ortopedycznych, pomocniczych, rehabilitacyjnych.</w:t>
      </w:r>
    </w:p>
    <w:p w:rsidR="00713FCF" w:rsidRDefault="00E30F2F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t>Liczba osób o</w:t>
      </w:r>
      <w:r>
        <w:t>bjętych rehabilitacją zawodową.</w:t>
      </w:r>
    </w:p>
    <w:p w:rsidR="00713FCF" w:rsidRDefault="00E30F2F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t>Liczba osób korzystających z rehabilitacji społecznej.</w:t>
      </w:r>
    </w:p>
    <w:p w:rsidR="00713FCF" w:rsidRDefault="00E30F2F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t>Liczba akcji promujących wczesną i kompleksową rehabilitację.</w:t>
      </w:r>
    </w:p>
    <w:p w:rsidR="00713FCF" w:rsidRDefault="00E30F2F">
      <w:pPr>
        <w:pStyle w:val="Akapitzlist"/>
        <w:numPr>
          <w:ilvl w:val="0"/>
          <w:numId w:val="10"/>
        </w:numPr>
        <w:spacing w:line="276" w:lineRule="auto"/>
        <w:ind w:left="709"/>
        <w:jc w:val="both"/>
      </w:pPr>
      <w:r>
        <w:t>Liczba osób, których wzrosła aktywność społeczna lub zawodowa.</w:t>
      </w:r>
    </w:p>
    <w:p w:rsidR="00713FCF" w:rsidRDefault="00E30F2F">
      <w:pPr>
        <w:pStyle w:val="Standard"/>
        <w:jc w:val="center"/>
      </w:pPr>
      <w:r>
        <w:t>13</w:t>
      </w:r>
    </w:p>
    <w:p w:rsidR="00713FCF" w:rsidRDefault="00E30F2F">
      <w:pPr>
        <w:pStyle w:val="Standard"/>
        <w:spacing w:line="276" w:lineRule="auto"/>
        <w:ind w:left="709"/>
        <w:jc w:val="both"/>
      </w:pPr>
      <w:r>
        <w:rPr>
          <w:b/>
        </w:rPr>
        <w:t xml:space="preserve">Instytucje współpracujące w </w:t>
      </w:r>
      <w:r>
        <w:rPr>
          <w:b/>
        </w:rPr>
        <w:t>osiągnięciu założonych celów</w:t>
      </w:r>
    </w:p>
    <w:p w:rsidR="00713FCF" w:rsidRDefault="00713FCF">
      <w:pPr>
        <w:pStyle w:val="Standard"/>
        <w:spacing w:line="276" w:lineRule="auto"/>
        <w:ind w:left="709"/>
        <w:jc w:val="both"/>
        <w:rPr>
          <w:b/>
        </w:rPr>
      </w:pPr>
    </w:p>
    <w:p w:rsidR="00713FCF" w:rsidRDefault="00E30F2F">
      <w:pPr>
        <w:pStyle w:val="Standard"/>
        <w:spacing w:line="276" w:lineRule="auto"/>
        <w:ind w:left="709"/>
        <w:jc w:val="both"/>
      </w:pPr>
      <w:r>
        <w:t xml:space="preserve">Samorząd powiatowy, Powiatowe Centrum Pomocy Rodzinie, Powiatowy Urząd Pracy, samorządy gminne, ośrodki pomocy społecznej, szkoły, organizacje pozarządowe, wolontariusze, lokalne media, sponsorzy, wszelkie instytucje </w:t>
      </w:r>
      <w:r>
        <w:t>zajmujące się osobami niepełnosprawnymi, Powiatowa Społeczna Rada do spraw Osób Niepełnosprawnych.</w:t>
      </w: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  <w:jc w:val="both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713FCF">
      <w:pPr>
        <w:pStyle w:val="Standard"/>
      </w:pPr>
    </w:p>
    <w:p w:rsidR="00713FCF" w:rsidRDefault="00E30F2F">
      <w:pPr>
        <w:pStyle w:val="Standard"/>
        <w:jc w:val="center"/>
      </w:pPr>
      <w:r>
        <w:t>14</w:t>
      </w:r>
    </w:p>
    <w:p w:rsidR="00713FCF" w:rsidRDefault="00713FCF">
      <w:pPr>
        <w:pStyle w:val="Standard"/>
        <w:rPr>
          <w:b/>
          <w:bCs/>
          <w:sz w:val="28"/>
          <w:szCs w:val="28"/>
        </w:rPr>
      </w:pPr>
    </w:p>
    <w:p w:rsidR="00713FCF" w:rsidRDefault="00713FCF">
      <w:pPr>
        <w:pStyle w:val="Standard"/>
        <w:rPr>
          <w:b/>
          <w:bCs/>
          <w:sz w:val="28"/>
          <w:szCs w:val="28"/>
        </w:rPr>
      </w:pPr>
    </w:p>
    <w:p w:rsidR="00713FCF" w:rsidRDefault="00713FCF">
      <w:pPr>
        <w:pStyle w:val="Standard"/>
        <w:rPr>
          <w:b/>
          <w:bCs/>
          <w:sz w:val="28"/>
          <w:szCs w:val="28"/>
        </w:rPr>
      </w:pPr>
    </w:p>
    <w:p w:rsidR="00713FCF" w:rsidRDefault="00E30F2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Podsumowanie</w:t>
      </w:r>
    </w:p>
    <w:p w:rsidR="00713FCF" w:rsidRDefault="00713FCF">
      <w:pPr>
        <w:pStyle w:val="Standard"/>
        <w:rPr>
          <w:b/>
          <w:bCs/>
          <w:sz w:val="28"/>
          <w:szCs w:val="28"/>
        </w:rPr>
      </w:pPr>
    </w:p>
    <w:p w:rsidR="00713FCF" w:rsidRDefault="00E30F2F">
      <w:pPr>
        <w:pStyle w:val="Standard"/>
        <w:spacing w:line="276" w:lineRule="auto"/>
        <w:ind w:left="709"/>
        <w:jc w:val="both"/>
      </w:pPr>
      <w:r>
        <w:t xml:space="preserve">Zapisane w „Powiatowym Programie działań na rzecz osób niepełnosprawnych na lata </w:t>
      </w:r>
      <w:r>
        <w:t xml:space="preserve">2016-2026” cele charakteryzują się dużą ogólnością, ponieważ jest to dokument perspektywiczny przewidziany do realizacji w okresie 10-letnim. Daje on możliwość tworzenia projektów szczegółowych dotyczących czasami wąskiego wycinka zagadnień, które zostały </w:t>
      </w:r>
      <w:r>
        <w:t>ujęte w programie. Program jest otwarty, może być w trakcie zmieniany                          i aktualizowany w zależności od potrzeb. Jest dokumentem wymagającym współpracy samorządu powiatowego i gminnego, organizacji pozarządowych działających na rzecz</w:t>
      </w:r>
      <w:r>
        <w:t xml:space="preserve"> osób niepełnosprawnych, instytucji oświaty, kultury, sportu i turystyki, jednostek służby zdrowia, podmiotów zajmujących się aktywizacją społeczną i zawodową osób niepełnosprawnych                      i ich rehabilitacją.</w:t>
      </w:r>
    </w:p>
    <w:p w:rsidR="00713FCF" w:rsidRDefault="00E30F2F">
      <w:pPr>
        <w:pStyle w:val="Standard"/>
        <w:spacing w:line="276" w:lineRule="auto"/>
        <w:ind w:left="709"/>
        <w:jc w:val="both"/>
      </w:pPr>
      <w:r>
        <w:t>W powiecie malborskim różne inst</w:t>
      </w:r>
      <w:r>
        <w:t xml:space="preserve">ytucje podejmują różnorodne,  liczne działania na rzecz osób niepełnosprawnych, aby zminimalizować skutki niepełnosprawności, jak i zapewnić lepsze funkcjonowanie osób niepełnosprawnych z różnymi dysfunkcjami. Integrują swoje działania kierując je do tych </w:t>
      </w:r>
      <w:r>
        <w:t>osób, co przynosi wymierne efekty w postaci likwidacji barier funkcjonalnych, wzrostu liczby osób korzystających z pozamaterialnych form pomocy                        i zabezpieczenia socjalnego.</w:t>
      </w:r>
    </w:p>
    <w:p w:rsidR="00713FCF" w:rsidRDefault="00E30F2F">
      <w:pPr>
        <w:pStyle w:val="Standard"/>
        <w:spacing w:line="276" w:lineRule="auto"/>
        <w:ind w:left="709"/>
        <w:jc w:val="both"/>
      </w:pPr>
      <w:r>
        <w:t>Zakres realizacji zadań ujętych w programie uzależniony będz</w:t>
      </w:r>
      <w:r>
        <w:t>ie od wysokości środków finansowych samorządu powiatowego, gminnego, jak również od środków własnych podmiotów realizujących zadania na rzecz osób niepełnosprawnych zlecane do realizacji przez samorządy.</w:t>
      </w:r>
    </w:p>
    <w:p w:rsidR="00713FCF" w:rsidRDefault="00E30F2F">
      <w:pPr>
        <w:pStyle w:val="Standard"/>
        <w:spacing w:line="276" w:lineRule="auto"/>
        <w:ind w:left="709"/>
        <w:jc w:val="both"/>
      </w:pPr>
      <w:r>
        <w:t>Część zadań ujętych w Programie możliwa będzie do re</w:t>
      </w:r>
      <w:r>
        <w:t>alizacji ze środków  z Państwowego Funduszu Rehabilitacji Osób Niepełnosprawnych przekazywanych zgodnie z algorytmem corocznie samorządowi powiatowemu, zgodnie z ustawą rehabilitacji zawodowej i społecznej oraz zatrudnianiu osób niepełnosprawnych oraz ze ś</w:t>
      </w:r>
      <w:r>
        <w:t>rodków pilotażowego programu „Aktywny samorząd”, a także z realizacji Programu Wyrównywania Różnic między Regionami. Zakres realizacji zaplanowanych zadań w programie zależy od wielkości tych środków. Natomiast istnieje możliwość ubiegania się o środki, kt</w:t>
      </w:r>
      <w:r>
        <w:t xml:space="preserve">óre można pozyskać z innych </w:t>
      </w:r>
      <w:r>
        <w:lastRenderedPageBreak/>
        <w:t>programów, które są skierowane do osób niepełnosprawnych jak i z Europejskiego Funduszu Społecznego.</w:t>
      </w:r>
    </w:p>
    <w:p w:rsidR="00713FCF" w:rsidRDefault="00E30F2F">
      <w:pPr>
        <w:pStyle w:val="Standard"/>
        <w:spacing w:line="276" w:lineRule="auto"/>
        <w:ind w:left="709"/>
        <w:jc w:val="both"/>
      </w:pPr>
      <w:r>
        <w:t>Do opracowania Programu posłużono się informacjami  z instytucji działających na terenie powiatu malborskiego przesłanymi do Po</w:t>
      </w:r>
      <w:r>
        <w:t>wiatowego Centrum Pomocy Rodzinie.</w:t>
      </w: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both"/>
      </w:pPr>
    </w:p>
    <w:p w:rsidR="00713FCF" w:rsidRDefault="00713FCF">
      <w:pPr>
        <w:pStyle w:val="Standard"/>
        <w:spacing w:line="276" w:lineRule="auto"/>
        <w:ind w:left="709"/>
        <w:jc w:val="center"/>
      </w:pPr>
    </w:p>
    <w:p w:rsidR="00713FCF" w:rsidRDefault="00713FCF">
      <w:pPr>
        <w:pStyle w:val="Standard"/>
        <w:spacing w:line="276" w:lineRule="auto"/>
        <w:ind w:left="709"/>
        <w:jc w:val="center"/>
      </w:pPr>
    </w:p>
    <w:p w:rsidR="00713FCF" w:rsidRDefault="00E30F2F">
      <w:pPr>
        <w:pStyle w:val="Standard"/>
        <w:spacing w:line="276" w:lineRule="auto"/>
        <w:jc w:val="center"/>
      </w:pPr>
      <w:r>
        <w:t>15</w:t>
      </w:r>
    </w:p>
    <w:sectPr w:rsidR="00713FCF">
      <w:headerReference w:type="defaul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0F2F">
      <w:r>
        <w:separator/>
      </w:r>
    </w:p>
  </w:endnote>
  <w:endnote w:type="continuationSeparator" w:id="0">
    <w:p w:rsidR="00000000" w:rsidRDefault="00E3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0F2F">
      <w:r>
        <w:rPr>
          <w:color w:val="000000"/>
        </w:rPr>
        <w:separator/>
      </w:r>
    </w:p>
  </w:footnote>
  <w:footnote w:type="continuationSeparator" w:id="0">
    <w:p w:rsidR="00000000" w:rsidRDefault="00E3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852" w:rsidRDefault="00E30F2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5E"/>
    <w:multiLevelType w:val="multilevel"/>
    <w:tmpl w:val="F17E08C0"/>
    <w:styleLink w:val="WWNum25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50840B0"/>
    <w:multiLevelType w:val="multilevel"/>
    <w:tmpl w:val="C2DABE2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14082AF7"/>
    <w:multiLevelType w:val="multilevel"/>
    <w:tmpl w:val="0F5A6C0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1EE268D6"/>
    <w:multiLevelType w:val="multilevel"/>
    <w:tmpl w:val="312858BC"/>
    <w:styleLink w:val="WWNum9"/>
    <w:lvl w:ilvl="0">
      <w:numFmt w:val="bullet"/>
      <w:lvlText w:val=""/>
      <w:lvlJc w:val="left"/>
      <w:pPr>
        <w:ind w:left="16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Times New Roman"/>
        <w:sz w:val="24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Times New Roman"/>
        <w:sz w:val="24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Times New Roman"/>
        <w:sz w:val="24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" w15:restartNumberingAfterBreak="0">
    <w:nsid w:val="48EC557D"/>
    <w:multiLevelType w:val="multilevel"/>
    <w:tmpl w:val="C6F08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4C481CBC"/>
    <w:multiLevelType w:val="multilevel"/>
    <w:tmpl w:val="03D2D814"/>
    <w:styleLink w:val="WWNum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54A21C48"/>
    <w:multiLevelType w:val="multilevel"/>
    <w:tmpl w:val="6DBC3212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5F30042F"/>
    <w:multiLevelType w:val="multilevel"/>
    <w:tmpl w:val="50F89006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143ED0"/>
    <w:multiLevelType w:val="multilevel"/>
    <w:tmpl w:val="CD36455E"/>
    <w:styleLink w:val="WWNum4"/>
    <w:lvl w:ilvl="0">
      <w:start w:val="1"/>
      <w:numFmt w:val="decimal"/>
      <w:lvlText w:val="%1)"/>
      <w:lvlJc w:val="left"/>
      <w:pPr>
        <w:ind w:left="142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6A8719AC"/>
    <w:multiLevelType w:val="multilevel"/>
    <w:tmpl w:val="1F64B65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6B613884"/>
    <w:multiLevelType w:val="multilevel"/>
    <w:tmpl w:val="A62EA1C6"/>
    <w:styleLink w:val="WWNum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  <w:sz w:val="24"/>
      </w:rPr>
    </w:lvl>
  </w:abstractNum>
  <w:abstractNum w:abstractNumId="11" w15:restartNumberingAfterBreak="0">
    <w:nsid w:val="700D77F2"/>
    <w:multiLevelType w:val="multilevel"/>
    <w:tmpl w:val="7DD6EE70"/>
    <w:lvl w:ilvl="0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7570AC3"/>
    <w:multiLevelType w:val="multilevel"/>
    <w:tmpl w:val="2EC254B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7F7616D0"/>
    <w:multiLevelType w:val="multilevel"/>
    <w:tmpl w:val="DDA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E3053A"/>
    <w:multiLevelType w:val="multilevel"/>
    <w:tmpl w:val="761A57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3"/>
    <w:lvlOverride w:ilvl="0"/>
  </w:num>
  <w:num w:numId="20">
    <w:abstractNumId w:val="13"/>
  </w:num>
  <w:num w:numId="21">
    <w:abstractNumId w:val="5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3FCF"/>
    <w:rsid w:val="00713FCF"/>
    <w:rsid w:val="00E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63AD7-094F-41CB-8368-94054876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uiPriority w:val="9"/>
    <w:qFormat/>
    <w:pPr>
      <w:outlineLvl w:val="0"/>
    </w:p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Nagwek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eastAsia="Times New Roman" w:cs="Times New Roman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</w:style>
  <w:style w:type="paragraph" w:styleId="Stopka">
    <w:name w:val="footer"/>
    <w:basedOn w:val="Standard"/>
  </w:style>
  <w:style w:type="paragraph" w:customStyle="1" w:styleId="Quotations">
    <w:name w:val="Quotations"/>
    <w:basedOn w:val="Standard"/>
  </w:style>
  <w:style w:type="paragraph" w:styleId="Tytu">
    <w:name w:val="Title"/>
    <w:basedOn w:val="Heading"/>
    <w:uiPriority w:val="10"/>
    <w:qFormat/>
  </w:style>
  <w:style w:type="paragraph" w:styleId="Podtytu">
    <w:name w:val="Subtitle"/>
    <w:basedOn w:val="Heading"/>
    <w:uiPriority w:val="11"/>
    <w:qFormat/>
  </w:style>
  <w:style w:type="paragraph" w:styleId="Nagwek">
    <w:name w:val="header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24">
    <w:name w:val="WWNum24"/>
    <w:basedOn w:val="Bezlisty"/>
    <w:pPr>
      <w:numPr>
        <w:numId w:val="6"/>
      </w:numPr>
    </w:pPr>
  </w:style>
  <w:style w:type="numbering" w:customStyle="1" w:styleId="WWNum25">
    <w:name w:val="WWNum25"/>
    <w:basedOn w:val="Bezlisty"/>
    <w:pPr>
      <w:numPr>
        <w:numId w:val="7"/>
      </w:numPr>
    </w:pPr>
  </w:style>
  <w:style w:type="numbering" w:customStyle="1" w:styleId="WWNum28">
    <w:name w:val="WWNum28"/>
    <w:basedOn w:val="Bezlisty"/>
    <w:pPr>
      <w:numPr>
        <w:numId w:val="8"/>
      </w:numPr>
    </w:pPr>
  </w:style>
  <w:style w:type="numbering" w:customStyle="1" w:styleId="WWNum17">
    <w:name w:val="WWNum17"/>
    <w:basedOn w:val="Bezlisty"/>
    <w:pPr>
      <w:numPr>
        <w:numId w:val="9"/>
      </w:numPr>
    </w:pPr>
  </w:style>
  <w:style w:type="numbering" w:customStyle="1" w:styleId="WWNum20">
    <w:name w:val="WWNum2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p.powiat.malbork.pl/dokumenty/2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p.powiat.malbork.pl/dokumenty/20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c:style val="2"/>
  <c:chart>
    <c:autoTitleDeleted val="1"/>
    <c:view3D>
      <c:rotX val="15"/>
      <c:rotY val="20"/>
      <c:rAngAx val="1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lekki stopień niepełnosprawności</c:v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  <c:pt idx="5">
                <c:v>2015</c:v>
              </c:pt>
            </c:strLit>
          </c:cat>
          <c:val>
            <c:numLit>
              <c:formatCode>General</c:formatCode>
              <c:ptCount val="6"/>
              <c:pt idx="0">
                <c:v>304</c:v>
              </c:pt>
              <c:pt idx="1">
                <c:v>301</c:v>
              </c:pt>
              <c:pt idx="2">
                <c:v>193</c:v>
              </c:pt>
              <c:pt idx="3">
                <c:v>240</c:v>
              </c:pt>
              <c:pt idx="4">
                <c:v>241</c:v>
              </c:pt>
              <c:pt idx="5">
                <c:v>198</c:v>
              </c:pt>
            </c:numLit>
          </c:val>
        </c:ser>
        <c:ser>
          <c:idx val="1"/>
          <c:order val="1"/>
          <c:tx>
            <c:v>umiarkowany stopień niepełnosprawności</c:v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  <c:pt idx="5">
                <c:v>2015</c:v>
              </c:pt>
            </c:strLit>
          </c:cat>
          <c:val>
            <c:numLit>
              <c:formatCode>General</c:formatCode>
              <c:ptCount val="6"/>
              <c:pt idx="0">
                <c:v>845</c:v>
              </c:pt>
              <c:pt idx="1">
                <c:v>918</c:v>
              </c:pt>
              <c:pt idx="2">
                <c:v>957</c:v>
              </c:pt>
              <c:pt idx="3">
                <c:v>1015</c:v>
              </c:pt>
              <c:pt idx="4">
                <c:v>957</c:v>
              </c:pt>
              <c:pt idx="5">
                <c:v>1082</c:v>
              </c:pt>
            </c:numLit>
          </c:val>
        </c:ser>
        <c:ser>
          <c:idx val="2"/>
          <c:order val="2"/>
          <c:tx>
            <c:v>osoby poniżej 16 roku życia</c:v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  <c:pt idx="5">
                <c:v>2015</c:v>
              </c:pt>
            </c:strLit>
          </c:cat>
          <c:val>
            <c:numLit>
              <c:formatCode>General</c:formatCode>
              <c:ptCount val="6"/>
              <c:pt idx="0">
                <c:v>290</c:v>
              </c:pt>
              <c:pt idx="1">
                <c:v>216</c:v>
              </c:pt>
              <c:pt idx="2">
                <c:v>252</c:v>
              </c:pt>
              <c:pt idx="3">
                <c:v>216</c:v>
              </c:pt>
              <c:pt idx="4">
                <c:v>231</c:v>
              </c:pt>
              <c:pt idx="5">
                <c:v>206</c:v>
              </c:pt>
            </c:numLit>
          </c:val>
        </c:ser>
        <c:ser>
          <c:idx val="3"/>
          <c:order val="3"/>
          <c:tx>
            <c:v>znaczny stopień niepełnosprawności</c:v>
          </c:tx>
          <c:spPr>
            <a:solidFill>
              <a:srgbClr val="579D1C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  <c:pt idx="5">
                <c:v>2015</c:v>
              </c:pt>
            </c:strLit>
          </c:cat>
          <c:val>
            <c:numLit>
              <c:formatCode>General</c:formatCode>
              <c:ptCount val="6"/>
              <c:pt idx="0">
                <c:v>607</c:v>
              </c:pt>
              <c:pt idx="1">
                <c:v>774</c:v>
              </c:pt>
              <c:pt idx="2">
                <c:v>840</c:v>
              </c:pt>
              <c:pt idx="3">
                <c:v>801</c:v>
              </c:pt>
              <c:pt idx="4">
                <c:v>773</c:v>
              </c:pt>
              <c:pt idx="5">
                <c:v>872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033488"/>
        <c:axId val="410028896"/>
        <c:axId val="0"/>
      </c:bar3DChart>
      <c:valAx>
        <c:axId val="41002889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pl-PL"/>
          </a:p>
        </c:txPr>
        <c:crossAx val="410033488"/>
        <c:crossesAt val="0"/>
        <c:crossBetween val="between"/>
      </c:valAx>
      <c:catAx>
        <c:axId val="41003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pl-PL"/>
          </a:p>
        </c:txPr>
        <c:crossAx val="410028896"/>
        <c:crossesAt val="0"/>
        <c:auto val="1"/>
        <c:lblAlgn val="ctr"/>
        <c:lblOffset val="100"/>
        <c:noMultiLvlLbl val="0"/>
      </c:cat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4368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Działań na Rzecz Osób Niepełnosprawnych na lata 2011 - 2016</vt:lpstr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Działań na Rzecz Osób Niepełnosprawnych na lata 2011 - 2016</dc:title>
  <dc:creator>marzena</dc:creator>
  <cp:lastModifiedBy>Paweł Kot</cp:lastModifiedBy>
  <cp:revision>2</cp:revision>
  <cp:lastPrinted>2016-03-09T10:46:00Z</cp:lastPrinted>
  <dcterms:created xsi:type="dcterms:W3CDTF">2019-04-26T07:00:00Z</dcterms:created>
  <dcterms:modified xsi:type="dcterms:W3CDTF">2019-04-26T07:00:00Z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